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B6F1" w14:textId="3559319C" w:rsidR="000B244E" w:rsidRDefault="00FF407A" w:rsidP="000B244E">
      <w:pPr>
        <w:pStyle w:val="Heading1"/>
        <w:spacing w:before="0"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0574B5">
        <w:rPr>
          <w:rFonts w:cstheme="minorHAnsi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55924B" wp14:editId="3BB31B4A">
                <wp:simplePos x="0" y="0"/>
                <wp:positionH relativeFrom="margin">
                  <wp:posOffset>-742950</wp:posOffset>
                </wp:positionH>
                <wp:positionV relativeFrom="paragraph">
                  <wp:posOffset>-389890</wp:posOffset>
                </wp:positionV>
                <wp:extent cx="2105025" cy="7524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3832" w14:textId="5F808523" w:rsidR="00FF407A" w:rsidRPr="000574B5" w:rsidRDefault="00FF407A" w:rsidP="00FF407A">
                            <w:pPr>
                              <w:ind w:left="1440" w:hanging="72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9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30.7pt;width:165.75pt;height:5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" stroked="f">
                <v:textbox>
                  <w:txbxContent>
                    <w:p w14:paraId="6DC43832" w14:textId="5F808523" w:rsidR="00FF407A" w:rsidRPr="000574B5" w:rsidRDefault="00FF407A" w:rsidP="00FF407A">
                      <w:pPr>
                        <w:ind w:left="1440" w:hanging="720"/>
                        <w:rPr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color w:val="FF0000"/>
                          <w:sz w:val="30"/>
                          <w:szCs w:val="30"/>
                        </w:rPr>
                        <w:t>INSERT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74B5">
        <w:rPr>
          <w:rFonts w:cstheme="minorHAnsi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15351DE" wp14:editId="5CA1B104">
                <wp:simplePos x="0" y="0"/>
                <wp:positionH relativeFrom="margin">
                  <wp:posOffset>7458075</wp:posOffset>
                </wp:positionH>
                <wp:positionV relativeFrom="paragraph">
                  <wp:posOffset>-335915</wp:posOffset>
                </wp:positionV>
                <wp:extent cx="2105025" cy="7524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EA9" w14:textId="77777777" w:rsidR="00FF407A" w:rsidRPr="000574B5" w:rsidRDefault="00FF407A" w:rsidP="00FF407A">
                            <w:pPr>
                              <w:ind w:left="1440" w:hanging="72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51DE" id="_x0000_s1027" type="#_x0000_t202" style="position:absolute;left:0;text-align:left;margin-left:587.25pt;margin-top:-26.45pt;width:165.75pt;height:5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" stroked="f">
                <v:textbox>
                  <w:txbxContent>
                    <w:p w14:paraId="1AB0FEA9" w14:textId="77777777" w:rsidR="00FF407A" w:rsidRPr="000574B5" w:rsidRDefault="00FF407A" w:rsidP="00FF407A">
                      <w:pPr>
                        <w:ind w:left="1440" w:hanging="720"/>
                        <w:rPr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color w:val="FF0000"/>
                          <w:sz w:val="30"/>
                          <w:szCs w:val="30"/>
                        </w:rPr>
                        <w:t>INSERT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B5" w:rsidRPr="000574B5">
        <w:rPr>
          <w:rFonts w:cstheme="minorHAnsi"/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420FF5" wp14:editId="2213A8E0">
                <wp:simplePos x="0" y="0"/>
                <wp:positionH relativeFrom="margin">
                  <wp:posOffset>3619500</wp:posOffset>
                </wp:positionH>
                <wp:positionV relativeFrom="paragraph">
                  <wp:posOffset>-475615</wp:posOffset>
                </wp:positionV>
                <wp:extent cx="1685925" cy="400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1474" w14:textId="3C1010AD" w:rsidR="000574B5" w:rsidRPr="000574B5" w:rsidRDefault="000574B5" w:rsidP="000574B5">
                            <w:pPr>
                              <w:ind w:left="1440" w:hanging="720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574B5">
                              <w:rPr>
                                <w:color w:val="FF0000"/>
                                <w:sz w:val="30"/>
                                <w:szCs w:val="3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0FF5" id="_x0000_s1028" type="#_x0000_t202" style="position:absolute;left:0;text-align:left;margin-left:285pt;margin-top:-37.45pt;width:132.75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" stroked="f">
                <v:textbox>
                  <w:txbxContent>
                    <w:p w14:paraId="06B81474" w14:textId="3C1010AD" w:rsidR="000574B5" w:rsidRPr="000574B5" w:rsidRDefault="000574B5" w:rsidP="000574B5">
                      <w:pPr>
                        <w:ind w:left="1440" w:hanging="720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0574B5">
                        <w:rPr>
                          <w:color w:val="FF0000"/>
                          <w:sz w:val="30"/>
                          <w:szCs w:val="30"/>
                        </w:rPr>
                        <w:t>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44E" w:rsidRPr="00DC311D">
        <w:rPr>
          <w:rFonts w:cstheme="minorHAnsi"/>
          <w:b/>
          <w:color w:val="17365D" w:themeColor="text2" w:themeShade="BF"/>
          <w:sz w:val="28"/>
          <w:szCs w:val="28"/>
        </w:rPr>
        <w:t>RECOMMENDATI</w:t>
      </w:r>
      <w:r w:rsidR="00DC311D" w:rsidRPr="00DC311D">
        <w:rPr>
          <w:rFonts w:cstheme="minorHAnsi"/>
          <w:b/>
          <w:color w:val="17365D" w:themeColor="text2" w:themeShade="BF"/>
          <w:sz w:val="28"/>
          <w:szCs w:val="28"/>
        </w:rPr>
        <w:t>ONS FOR SAFE OPIOID PRESCRIBING</w:t>
      </w:r>
    </w:p>
    <w:p w14:paraId="3D955B66" w14:textId="0FAAFB6E" w:rsidR="000B244E" w:rsidRPr="00235021" w:rsidRDefault="00833562" w:rsidP="00235021">
      <w:pPr>
        <w:jc w:val="center"/>
      </w:pPr>
      <w:r>
        <w:t xml:space="preserve">Version </w:t>
      </w:r>
      <w:proofErr w:type="gramStart"/>
      <w:r w:rsidR="00B4798C">
        <w:t xml:space="preserve"># </w:t>
      </w:r>
      <w:r>
        <w:t xml:space="preserve"> (</w:t>
      </w:r>
      <w:proofErr w:type="gramEnd"/>
      <w:r w:rsidR="00B4798C">
        <w:t>MM/DD/YYY</w:t>
      </w:r>
      <w:r>
        <w:t>)</w:t>
      </w:r>
    </w:p>
    <w:p w14:paraId="25E036C4" w14:textId="5E6D1089" w:rsidR="005F4733" w:rsidRDefault="005F4733" w:rsidP="005F4733">
      <w:pPr>
        <w:spacing w:after="0" w:line="240" w:lineRule="auto"/>
        <w:rPr>
          <w:rFonts w:asciiTheme="majorHAnsi" w:hAnsiTheme="majorHAnsi" w:cstheme="minorHAnsi"/>
          <w:b/>
          <w:bCs/>
          <w:sz w:val="22"/>
        </w:rPr>
      </w:pPr>
      <w:r w:rsidRPr="00DC311D">
        <w:rPr>
          <w:rFonts w:asciiTheme="majorHAnsi" w:hAnsiTheme="majorHAnsi" w:cstheme="minorHAnsi"/>
          <w:b/>
          <w:bCs/>
          <w:sz w:val="22"/>
          <w:u w:val="single"/>
        </w:rPr>
        <w:t>Important Notes</w:t>
      </w:r>
      <w:r w:rsidRPr="0001755A">
        <w:rPr>
          <w:rFonts w:asciiTheme="majorHAnsi" w:hAnsiTheme="majorHAnsi" w:cstheme="minorHAnsi"/>
          <w:b/>
          <w:bCs/>
          <w:sz w:val="22"/>
        </w:rPr>
        <w:t>:</w:t>
      </w:r>
      <w:r w:rsidR="006A3EE5">
        <w:rPr>
          <w:rFonts w:asciiTheme="majorHAnsi" w:hAnsiTheme="majorHAnsi" w:cstheme="minorHAnsi"/>
          <w:b/>
          <w:bCs/>
          <w:sz w:val="22"/>
        </w:rPr>
        <w:t xml:space="preserve"> </w:t>
      </w:r>
    </w:p>
    <w:p w14:paraId="1920385B" w14:textId="252BA77A" w:rsidR="006A3EE5" w:rsidRDefault="006A3EE5" w:rsidP="006A3EE5">
      <w:pPr>
        <w:spacing w:after="0" w:line="240" w:lineRule="auto"/>
        <w:jc w:val="center"/>
        <w:rPr>
          <w:rFonts w:asciiTheme="majorHAnsi" w:hAnsiTheme="majorHAnsi" w:cstheme="minorHAnsi"/>
          <w:b/>
          <w:bCs/>
          <w:i/>
          <w:color w:val="FF0000"/>
          <w:sz w:val="22"/>
        </w:rPr>
      </w:pPr>
      <w:r w:rsidRPr="006A3EE5">
        <w:rPr>
          <w:rFonts w:asciiTheme="majorHAnsi" w:hAnsiTheme="majorHAnsi" w:cstheme="minorHAnsi"/>
          <w:b/>
          <w:bCs/>
          <w:i/>
          <w:color w:val="FF0000"/>
          <w:sz w:val="22"/>
        </w:rPr>
        <w:t>*This document is to be used as a Template for Safe</w:t>
      </w:r>
      <w:r w:rsidR="00255681">
        <w:rPr>
          <w:rFonts w:asciiTheme="majorHAnsi" w:hAnsiTheme="majorHAnsi" w:cstheme="minorHAnsi"/>
          <w:b/>
          <w:bCs/>
          <w:i/>
          <w:color w:val="FF0000"/>
          <w:sz w:val="22"/>
        </w:rPr>
        <w:t xml:space="preserve"> Opioid</w:t>
      </w:r>
      <w:r w:rsidRPr="006A3EE5">
        <w:rPr>
          <w:rFonts w:asciiTheme="majorHAnsi" w:hAnsiTheme="majorHAnsi" w:cstheme="minorHAnsi"/>
          <w:b/>
          <w:bCs/>
          <w:i/>
          <w:color w:val="FF0000"/>
          <w:sz w:val="22"/>
        </w:rPr>
        <w:t xml:space="preserve"> Prescribing </w:t>
      </w:r>
      <w:r w:rsidR="00255681">
        <w:rPr>
          <w:rFonts w:asciiTheme="majorHAnsi" w:hAnsiTheme="majorHAnsi" w:cstheme="minorHAnsi"/>
          <w:b/>
          <w:bCs/>
          <w:i/>
          <w:color w:val="FF0000"/>
          <w:sz w:val="22"/>
        </w:rPr>
        <w:t>Recommendations</w:t>
      </w:r>
      <w:r w:rsidRPr="006A3EE5">
        <w:rPr>
          <w:rFonts w:asciiTheme="majorHAnsi" w:hAnsiTheme="majorHAnsi" w:cstheme="minorHAnsi"/>
          <w:b/>
          <w:bCs/>
          <w:i/>
          <w:color w:val="FF0000"/>
          <w:sz w:val="22"/>
        </w:rPr>
        <w:t>. When creating this document, ensure that you are keeping a list of references, changing language as it is relevant to your institutions</w:t>
      </w:r>
      <w:r>
        <w:rPr>
          <w:rFonts w:asciiTheme="majorHAnsi" w:hAnsiTheme="majorHAnsi" w:cstheme="minorHAnsi"/>
          <w:b/>
          <w:bCs/>
          <w:i/>
          <w:color w:val="FF0000"/>
          <w:sz w:val="22"/>
        </w:rPr>
        <w:t>/coalitions</w:t>
      </w:r>
      <w:r w:rsidRPr="006A3EE5">
        <w:rPr>
          <w:rFonts w:asciiTheme="majorHAnsi" w:hAnsiTheme="majorHAnsi" w:cstheme="minorHAnsi"/>
          <w:b/>
          <w:bCs/>
          <w:i/>
          <w:color w:val="FF0000"/>
          <w:sz w:val="22"/>
        </w:rPr>
        <w:t xml:space="preserve">, and that you maintain the sentence that appears as the red bulleted </w:t>
      </w:r>
      <w:proofErr w:type="gramStart"/>
      <w:r w:rsidR="00183860">
        <w:rPr>
          <w:rFonts w:asciiTheme="majorHAnsi" w:hAnsiTheme="majorHAnsi" w:cstheme="minorHAnsi"/>
          <w:b/>
          <w:bCs/>
          <w:i/>
          <w:color w:val="FF0000"/>
          <w:sz w:val="22"/>
        </w:rPr>
        <w:t>item</w:t>
      </w:r>
      <w:r w:rsidRPr="006A3EE5">
        <w:rPr>
          <w:rFonts w:asciiTheme="majorHAnsi" w:hAnsiTheme="majorHAnsi" w:cstheme="minorHAnsi"/>
          <w:b/>
          <w:bCs/>
          <w:i/>
          <w:color w:val="FF0000"/>
          <w:sz w:val="22"/>
        </w:rPr>
        <w:t>.*</w:t>
      </w:r>
      <w:proofErr w:type="gramEnd"/>
    </w:p>
    <w:p w14:paraId="16C4C30C" w14:textId="77777777" w:rsidR="00F14A00" w:rsidRPr="006A3EE5" w:rsidRDefault="00F14A00" w:rsidP="006A3EE5">
      <w:pPr>
        <w:spacing w:after="0" w:line="240" w:lineRule="auto"/>
        <w:jc w:val="center"/>
        <w:rPr>
          <w:rFonts w:asciiTheme="majorHAnsi" w:hAnsiTheme="majorHAnsi" w:cstheme="minorHAnsi"/>
          <w:b/>
          <w:bCs/>
          <w:i/>
          <w:color w:val="FF0000"/>
          <w:sz w:val="22"/>
        </w:rPr>
      </w:pPr>
    </w:p>
    <w:p w14:paraId="2315B089" w14:textId="7A8D7FDD" w:rsidR="00255681" w:rsidRPr="00255681" w:rsidRDefault="00255681" w:rsidP="00255681">
      <w:pPr>
        <w:pStyle w:val="ListParagraph"/>
        <w:numPr>
          <w:ilvl w:val="0"/>
          <w:numId w:val="1"/>
        </w:numPr>
        <w:rPr>
          <w:color w:val="FF0000"/>
        </w:rPr>
      </w:pPr>
      <w:r w:rsidRPr="00255681">
        <w:rPr>
          <w:color w:val="FF0000"/>
        </w:rPr>
        <w:t xml:space="preserve">This list of recommendations has been adapted from its original version, </w:t>
      </w:r>
      <w:r w:rsidRPr="00255681">
        <w:rPr>
          <w:rFonts w:asciiTheme="majorHAnsi" w:hAnsiTheme="majorHAnsi" w:cstheme="minorHAnsi"/>
          <w:bCs/>
          <w:color w:val="FF0000"/>
          <w:sz w:val="22"/>
        </w:rPr>
        <w:t xml:space="preserve">developed by Safe Med LA and </w:t>
      </w:r>
      <w:r w:rsidRPr="00255681">
        <w:rPr>
          <w:rFonts w:asciiTheme="majorHAnsi" w:hAnsiTheme="majorHAnsi" w:cstheme="minorHAnsi"/>
          <w:bCs/>
          <w:color w:val="FF0000"/>
          <w:sz w:val="22"/>
        </w:rPr>
        <w:t xml:space="preserve">endorsed by </w:t>
      </w:r>
      <w:r w:rsidRPr="00255681">
        <w:rPr>
          <w:rFonts w:asciiTheme="majorHAnsi" w:hAnsiTheme="majorHAnsi" w:cstheme="minorHAnsi"/>
          <w:bCs/>
          <w:color w:val="FF0000"/>
          <w:sz w:val="22"/>
        </w:rPr>
        <w:t>the California Society of Addiction Medicine’s (CSAM) Committee on Opioids</w:t>
      </w:r>
      <w:r w:rsidRPr="00255681">
        <w:rPr>
          <w:rFonts w:asciiTheme="majorHAnsi" w:hAnsiTheme="majorHAnsi" w:cstheme="minorHAnsi"/>
          <w:bCs/>
          <w:color w:val="FF0000"/>
          <w:sz w:val="22"/>
        </w:rPr>
        <w:t>.</w:t>
      </w:r>
      <w:r w:rsidRPr="00255681">
        <w:rPr>
          <w:color w:val="FF0000"/>
        </w:rPr>
        <w:t xml:space="preserve"> </w:t>
      </w:r>
      <w:r w:rsidRPr="00255681">
        <w:rPr>
          <w:color w:val="FF0000"/>
        </w:rPr>
        <w:t>T</w:t>
      </w:r>
      <w:r w:rsidRPr="00255681">
        <w:rPr>
          <w:color w:val="FF0000"/>
        </w:rPr>
        <w:t>he inclusion of any specific recommendation does not imply endorsement from Safe Med LA nor CSAM.</w:t>
      </w:r>
    </w:p>
    <w:p w14:paraId="73D79B90" w14:textId="607C7EB4" w:rsidR="007C12B6" w:rsidRDefault="007C12B6" w:rsidP="005F47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Cs/>
          <w:sz w:val="22"/>
        </w:rPr>
      </w:pPr>
      <w:r>
        <w:rPr>
          <w:rFonts w:asciiTheme="majorHAnsi" w:hAnsiTheme="majorHAnsi" w:cstheme="minorHAnsi"/>
          <w:bCs/>
          <w:sz w:val="22"/>
        </w:rPr>
        <w:t xml:space="preserve">As with any clinical </w:t>
      </w:r>
      <w:r w:rsidR="00A63FE8">
        <w:rPr>
          <w:rFonts w:asciiTheme="majorHAnsi" w:hAnsiTheme="majorHAnsi" w:cstheme="minorHAnsi"/>
          <w:bCs/>
          <w:sz w:val="22"/>
        </w:rPr>
        <w:t>recommendations</w:t>
      </w:r>
      <w:r>
        <w:rPr>
          <w:rFonts w:asciiTheme="majorHAnsi" w:hAnsiTheme="majorHAnsi" w:cstheme="minorHAnsi"/>
          <w:bCs/>
          <w:sz w:val="22"/>
        </w:rPr>
        <w:t xml:space="preserve">, provider </w:t>
      </w:r>
      <w:r w:rsidR="007B7CF2">
        <w:rPr>
          <w:rFonts w:asciiTheme="majorHAnsi" w:hAnsiTheme="majorHAnsi" w:cstheme="minorHAnsi"/>
          <w:bCs/>
          <w:sz w:val="22"/>
        </w:rPr>
        <w:t>judgment</w:t>
      </w:r>
      <w:r>
        <w:rPr>
          <w:rFonts w:asciiTheme="majorHAnsi" w:hAnsiTheme="majorHAnsi" w:cstheme="minorHAnsi"/>
          <w:bCs/>
          <w:sz w:val="22"/>
        </w:rPr>
        <w:t xml:space="preserve"> should </w:t>
      </w:r>
      <w:r w:rsidR="00A74A91">
        <w:rPr>
          <w:rFonts w:asciiTheme="majorHAnsi" w:hAnsiTheme="majorHAnsi" w:cstheme="minorHAnsi"/>
          <w:bCs/>
          <w:sz w:val="22"/>
        </w:rPr>
        <w:t>govern considerations involved in</w:t>
      </w:r>
      <w:r>
        <w:rPr>
          <w:rFonts w:asciiTheme="majorHAnsi" w:hAnsiTheme="majorHAnsi" w:cstheme="minorHAnsi"/>
          <w:bCs/>
          <w:sz w:val="22"/>
        </w:rPr>
        <w:t xml:space="preserve"> </w:t>
      </w:r>
      <w:r w:rsidR="008625E8">
        <w:rPr>
          <w:rFonts w:asciiTheme="majorHAnsi" w:hAnsiTheme="majorHAnsi" w:cstheme="minorHAnsi"/>
          <w:bCs/>
          <w:sz w:val="22"/>
        </w:rPr>
        <w:t xml:space="preserve">high quality and evidence-based </w:t>
      </w:r>
      <w:r w:rsidR="00A74A91">
        <w:rPr>
          <w:rFonts w:asciiTheme="majorHAnsi" w:hAnsiTheme="majorHAnsi" w:cstheme="minorHAnsi"/>
          <w:bCs/>
          <w:sz w:val="22"/>
        </w:rPr>
        <w:t>patient care</w:t>
      </w:r>
      <w:r>
        <w:rPr>
          <w:rFonts w:asciiTheme="majorHAnsi" w:hAnsiTheme="majorHAnsi" w:cstheme="minorHAnsi"/>
          <w:bCs/>
          <w:sz w:val="22"/>
        </w:rPr>
        <w:t xml:space="preserve">.   </w:t>
      </w:r>
    </w:p>
    <w:p w14:paraId="03A09681" w14:textId="708F5D32" w:rsidR="00A63FE8" w:rsidRPr="00A63FE8" w:rsidRDefault="00A63FE8" w:rsidP="005F47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bCs/>
          <w:sz w:val="22"/>
        </w:rPr>
      </w:pPr>
      <w:r w:rsidRPr="00A63FE8">
        <w:rPr>
          <w:rFonts w:asciiTheme="majorHAnsi" w:hAnsiTheme="majorHAnsi"/>
          <w:b/>
          <w:sz w:val="22"/>
        </w:rPr>
        <w:t>Importantly, these recommendations should not be interpreted to require involuntary</w:t>
      </w:r>
      <w:r w:rsidR="00416EA5">
        <w:rPr>
          <w:rFonts w:asciiTheme="majorHAnsi" w:hAnsiTheme="majorHAnsi"/>
          <w:b/>
          <w:sz w:val="22"/>
        </w:rPr>
        <w:t xml:space="preserve"> and/or rapid</w:t>
      </w:r>
      <w:r w:rsidRPr="00A63FE8">
        <w:rPr>
          <w:rFonts w:asciiTheme="majorHAnsi" w:hAnsiTheme="majorHAnsi"/>
          <w:b/>
          <w:sz w:val="22"/>
        </w:rPr>
        <w:t xml:space="preserve"> tapers, which can be </w:t>
      </w:r>
      <w:r w:rsidR="00416EA5">
        <w:rPr>
          <w:rFonts w:asciiTheme="majorHAnsi" w:hAnsiTheme="majorHAnsi"/>
          <w:b/>
          <w:sz w:val="22"/>
        </w:rPr>
        <w:t xml:space="preserve">more </w:t>
      </w:r>
      <w:r w:rsidRPr="00A63FE8">
        <w:rPr>
          <w:rFonts w:asciiTheme="majorHAnsi" w:hAnsiTheme="majorHAnsi"/>
          <w:b/>
          <w:sz w:val="22"/>
        </w:rPr>
        <w:t>harmful</w:t>
      </w:r>
      <w:r w:rsidR="00416EA5">
        <w:rPr>
          <w:rFonts w:asciiTheme="majorHAnsi" w:hAnsiTheme="majorHAnsi"/>
          <w:b/>
          <w:sz w:val="22"/>
        </w:rPr>
        <w:t xml:space="preserve"> than they are beneficial</w:t>
      </w:r>
      <w:r w:rsidR="00BD669B">
        <w:rPr>
          <w:rFonts w:asciiTheme="majorHAnsi" w:hAnsiTheme="majorHAnsi"/>
          <w:b/>
          <w:sz w:val="22"/>
        </w:rPr>
        <w:t xml:space="preserve"> by putting patients at risk for poor outcomes such as medical and/or psychiatric decompensation, relapse or illicit drug use, </w:t>
      </w:r>
      <w:r w:rsidR="009E5E87">
        <w:rPr>
          <w:rFonts w:asciiTheme="majorHAnsi" w:hAnsiTheme="majorHAnsi"/>
          <w:b/>
          <w:sz w:val="22"/>
        </w:rPr>
        <w:t>overdose, and</w:t>
      </w:r>
      <w:r w:rsidR="00BD669B">
        <w:rPr>
          <w:rFonts w:asciiTheme="majorHAnsi" w:hAnsiTheme="majorHAnsi"/>
          <w:b/>
          <w:sz w:val="22"/>
        </w:rPr>
        <w:t xml:space="preserve"> self-harm</w:t>
      </w:r>
      <w:r w:rsidRPr="00A63FE8">
        <w:rPr>
          <w:rFonts w:asciiTheme="majorHAnsi" w:hAnsiTheme="majorHAnsi"/>
          <w:b/>
          <w:sz w:val="22"/>
        </w:rPr>
        <w:t xml:space="preserve">. Tapering decisions </w:t>
      </w:r>
      <w:r w:rsidR="00416EA5">
        <w:rPr>
          <w:rFonts w:asciiTheme="majorHAnsi" w:hAnsiTheme="majorHAnsi"/>
          <w:b/>
          <w:sz w:val="22"/>
        </w:rPr>
        <w:t>must be made</w:t>
      </w:r>
      <w:r w:rsidRPr="00A63FE8">
        <w:rPr>
          <w:rFonts w:asciiTheme="majorHAnsi" w:hAnsiTheme="majorHAnsi"/>
          <w:b/>
          <w:sz w:val="22"/>
        </w:rPr>
        <w:t xml:space="preserve"> based on the </w:t>
      </w:r>
      <w:r w:rsidR="00416EA5">
        <w:rPr>
          <w:rFonts w:asciiTheme="majorHAnsi" w:hAnsiTheme="majorHAnsi"/>
          <w:b/>
          <w:sz w:val="22"/>
        </w:rPr>
        <w:t xml:space="preserve">individual circumstances of each case, with careful consideration of the </w:t>
      </w:r>
      <w:r w:rsidRPr="00A63FE8">
        <w:rPr>
          <w:rFonts w:asciiTheme="majorHAnsi" w:hAnsiTheme="majorHAnsi"/>
          <w:b/>
          <w:sz w:val="22"/>
        </w:rPr>
        <w:t>risks and benefits</w:t>
      </w:r>
      <w:r w:rsidR="00267787">
        <w:rPr>
          <w:rFonts w:asciiTheme="majorHAnsi" w:hAnsiTheme="majorHAnsi"/>
          <w:b/>
          <w:sz w:val="22"/>
        </w:rPr>
        <w:t>.</w:t>
      </w:r>
    </w:p>
    <w:p w14:paraId="4A6DAD91" w14:textId="40BF8967" w:rsidR="005F4733" w:rsidRPr="00DC311D" w:rsidRDefault="00D6518F" w:rsidP="005F47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Cs/>
          <w:sz w:val="22"/>
        </w:rPr>
      </w:pPr>
      <w:r>
        <w:rPr>
          <w:rFonts w:asciiTheme="majorHAnsi" w:hAnsiTheme="majorHAnsi" w:cstheme="minorHAnsi"/>
          <w:bCs/>
          <w:sz w:val="22"/>
        </w:rPr>
        <w:t>Prescribers</w:t>
      </w:r>
      <w:r w:rsidR="00574416" w:rsidRPr="00DC311D">
        <w:rPr>
          <w:rFonts w:asciiTheme="majorHAnsi" w:hAnsiTheme="majorHAnsi" w:cstheme="minorHAnsi"/>
          <w:bCs/>
          <w:sz w:val="22"/>
        </w:rPr>
        <w:t xml:space="preserve"> </w:t>
      </w:r>
      <w:r w:rsidR="005F4733" w:rsidRPr="00DC311D">
        <w:rPr>
          <w:rFonts w:asciiTheme="majorHAnsi" w:hAnsiTheme="majorHAnsi" w:cstheme="minorHAnsi"/>
          <w:bCs/>
          <w:sz w:val="22"/>
        </w:rPr>
        <w:t xml:space="preserve">need to be aware of additional </w:t>
      </w:r>
      <w:r w:rsidR="00E42B74">
        <w:rPr>
          <w:rFonts w:asciiTheme="majorHAnsi" w:hAnsiTheme="majorHAnsi" w:cstheme="minorHAnsi"/>
          <w:bCs/>
          <w:sz w:val="22"/>
        </w:rPr>
        <w:t xml:space="preserve">local, </w:t>
      </w:r>
      <w:r w:rsidR="005F4733" w:rsidRPr="00DC311D">
        <w:rPr>
          <w:rFonts w:asciiTheme="majorHAnsi" w:hAnsiTheme="majorHAnsi" w:cstheme="minorHAnsi"/>
          <w:bCs/>
          <w:sz w:val="22"/>
        </w:rPr>
        <w:t>state</w:t>
      </w:r>
      <w:r w:rsidR="00E42B74">
        <w:rPr>
          <w:rFonts w:asciiTheme="majorHAnsi" w:hAnsiTheme="majorHAnsi" w:cstheme="minorHAnsi"/>
          <w:bCs/>
          <w:sz w:val="22"/>
        </w:rPr>
        <w:t>,</w:t>
      </w:r>
      <w:r w:rsidR="005F4733" w:rsidRPr="00DC311D">
        <w:rPr>
          <w:rFonts w:asciiTheme="majorHAnsi" w:hAnsiTheme="majorHAnsi" w:cstheme="minorHAnsi"/>
          <w:bCs/>
          <w:sz w:val="22"/>
        </w:rPr>
        <w:t xml:space="preserve"> and </w:t>
      </w:r>
      <w:r w:rsidR="009E5E87">
        <w:rPr>
          <w:rFonts w:asciiTheme="majorHAnsi" w:hAnsiTheme="majorHAnsi" w:cstheme="minorHAnsi"/>
          <w:bCs/>
          <w:sz w:val="22"/>
        </w:rPr>
        <w:t>federal</w:t>
      </w:r>
      <w:r w:rsidR="009E5E87" w:rsidRPr="00DC311D">
        <w:rPr>
          <w:rFonts w:asciiTheme="majorHAnsi" w:hAnsiTheme="majorHAnsi" w:cstheme="minorHAnsi"/>
          <w:bCs/>
          <w:sz w:val="22"/>
        </w:rPr>
        <w:t xml:space="preserve"> </w:t>
      </w:r>
      <w:r w:rsidR="005F4733" w:rsidRPr="00DC311D">
        <w:rPr>
          <w:rFonts w:asciiTheme="majorHAnsi" w:hAnsiTheme="majorHAnsi" w:cstheme="minorHAnsi"/>
          <w:bCs/>
          <w:sz w:val="22"/>
        </w:rPr>
        <w:t>laws and regulations involving opioid prescribing that may supersede these recommendations.</w:t>
      </w:r>
    </w:p>
    <w:p w14:paraId="6CA87A40" w14:textId="77777777" w:rsidR="005F4733" w:rsidRPr="00DC311D" w:rsidRDefault="005F4733" w:rsidP="005F473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Cs/>
          <w:sz w:val="22"/>
        </w:rPr>
      </w:pPr>
      <w:r w:rsidRPr="00DC311D">
        <w:rPr>
          <w:rFonts w:asciiTheme="majorHAnsi" w:hAnsiTheme="majorHAnsi" w:cstheme="minorHAnsi"/>
          <w:bCs/>
          <w:sz w:val="22"/>
        </w:rPr>
        <w:t xml:space="preserve">For any prescribing outside of these recommendations, it is highly advised that the reason(s) be documented in the patient’s medical record. </w:t>
      </w:r>
    </w:p>
    <w:p w14:paraId="032B4EEE" w14:textId="1887BFD4" w:rsidR="005F4733" w:rsidRPr="00FF407A" w:rsidRDefault="005F4733" w:rsidP="00DD7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b/>
          <w:bCs/>
          <w:sz w:val="22"/>
        </w:rPr>
      </w:pPr>
      <w:r w:rsidRPr="00DC311D">
        <w:rPr>
          <w:rFonts w:asciiTheme="majorHAnsi" w:hAnsiTheme="majorHAnsi" w:cstheme="minorHAnsi"/>
          <w:b/>
          <w:i/>
          <w:sz w:val="22"/>
        </w:rPr>
        <w:t xml:space="preserve">These recommendations do </w:t>
      </w:r>
      <w:r w:rsidR="00D55FFB" w:rsidRPr="00DC311D">
        <w:rPr>
          <w:rFonts w:asciiTheme="majorHAnsi" w:hAnsiTheme="majorHAnsi" w:cstheme="minorHAnsi"/>
          <w:b/>
          <w:i/>
          <w:sz w:val="22"/>
        </w:rPr>
        <w:t>NOT</w:t>
      </w:r>
      <w:r w:rsidRPr="00DC311D">
        <w:rPr>
          <w:rFonts w:asciiTheme="majorHAnsi" w:hAnsiTheme="majorHAnsi" w:cstheme="minorHAnsi"/>
          <w:b/>
          <w:i/>
          <w:sz w:val="22"/>
        </w:rPr>
        <w:t xml:space="preserve"> pertain to palliative care, </w:t>
      </w:r>
      <w:r w:rsidR="00D55FFB" w:rsidRPr="00DC311D">
        <w:rPr>
          <w:rFonts w:asciiTheme="majorHAnsi" w:hAnsiTheme="majorHAnsi" w:cstheme="minorHAnsi"/>
          <w:b/>
          <w:i/>
          <w:sz w:val="22"/>
        </w:rPr>
        <w:t>end-of-life (</w:t>
      </w:r>
      <w:r w:rsidRPr="00DC311D">
        <w:rPr>
          <w:rFonts w:asciiTheme="majorHAnsi" w:hAnsiTheme="majorHAnsi" w:cstheme="minorHAnsi"/>
          <w:b/>
          <w:i/>
          <w:sz w:val="22"/>
        </w:rPr>
        <w:t>hospice</w:t>
      </w:r>
      <w:r w:rsidR="00D55FFB" w:rsidRPr="00DC311D">
        <w:rPr>
          <w:rFonts w:asciiTheme="majorHAnsi" w:hAnsiTheme="majorHAnsi" w:cstheme="minorHAnsi"/>
          <w:b/>
          <w:i/>
          <w:sz w:val="22"/>
        </w:rPr>
        <w:t>),</w:t>
      </w:r>
      <w:r w:rsidRPr="00DC311D">
        <w:rPr>
          <w:rFonts w:asciiTheme="majorHAnsi" w:hAnsiTheme="majorHAnsi" w:cstheme="minorHAnsi"/>
          <w:b/>
          <w:i/>
          <w:sz w:val="22"/>
        </w:rPr>
        <w:t xml:space="preserve"> or active cancer treatment.</w:t>
      </w:r>
    </w:p>
    <w:p w14:paraId="5382ADB8" w14:textId="77777777" w:rsidR="00DD7668" w:rsidRPr="00DD7668" w:rsidRDefault="00DD7668" w:rsidP="00DD7668">
      <w:pPr>
        <w:pStyle w:val="ListParagraph"/>
        <w:spacing w:after="0" w:line="240" w:lineRule="auto"/>
        <w:ind w:left="1080"/>
        <w:rPr>
          <w:rFonts w:asciiTheme="majorHAnsi" w:hAnsiTheme="majorHAnsi" w:cstheme="minorHAnsi"/>
          <w:b/>
          <w:bCs/>
          <w:sz w:val="22"/>
        </w:rPr>
      </w:pPr>
    </w:p>
    <w:p w14:paraId="2F7FC1A6" w14:textId="77777777" w:rsidR="000B244E" w:rsidRDefault="000B244E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34D832" w14:textId="77777777" w:rsidR="004D14E4" w:rsidRPr="000B244E" w:rsidRDefault="000B244E" w:rsidP="000B244E">
      <w:pPr>
        <w:spacing w:after="0" w:line="240" w:lineRule="auto"/>
        <w:jc w:val="center"/>
        <w:rPr>
          <w:rFonts w:asciiTheme="majorHAnsi" w:hAnsiTheme="majorHAnsi"/>
          <w:b/>
          <w:color w:val="7B5FA1"/>
          <w:sz w:val="24"/>
          <w:szCs w:val="24"/>
        </w:rPr>
      </w:pPr>
      <w:r w:rsidRPr="000B244E">
        <w:rPr>
          <w:rFonts w:asciiTheme="majorHAnsi" w:hAnsiTheme="majorHAnsi"/>
          <w:b/>
          <w:color w:val="7B5FA1"/>
          <w:sz w:val="24"/>
          <w:szCs w:val="24"/>
        </w:rPr>
        <w:t>FOCUS AREA #1 – SAFE OPIOID PRESCRIBING</w:t>
      </w:r>
    </w:p>
    <w:p w14:paraId="2D56CD4F" w14:textId="77777777" w:rsidR="004D14E4" w:rsidRPr="004D14E4" w:rsidRDefault="004D14E4" w:rsidP="004D14E4">
      <w:pPr>
        <w:spacing w:after="0" w:line="240" w:lineRule="auto"/>
        <w:rPr>
          <w:rFonts w:asciiTheme="majorHAnsi" w:hAnsi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1873"/>
      </w:tblGrid>
      <w:tr w:rsidR="005F4733" w14:paraId="1177CC66" w14:textId="77777777" w:rsidTr="00763684">
        <w:trPr>
          <w:trHeight w:val="260"/>
          <w:tblHeader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60F0CB0" w14:textId="77777777" w:rsidR="005F4733" w:rsidRPr="00317B0C" w:rsidRDefault="005F4733" w:rsidP="005F473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FOCUS AREA</w:t>
            </w:r>
            <w:r w:rsidR="004D14E4" w:rsidRPr="00317B0C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tc>
          <w:tcPr>
            <w:tcW w:w="11873" w:type="dxa"/>
            <w:shd w:val="clear" w:color="auto" w:fill="CC99FF"/>
            <w:vAlign w:val="center"/>
          </w:tcPr>
          <w:p w14:paraId="3A66B699" w14:textId="77777777" w:rsidR="005F4733" w:rsidRPr="00317B0C" w:rsidRDefault="005F4733" w:rsidP="005F473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RECOMMENDATIONS</w:t>
            </w:r>
          </w:p>
        </w:tc>
      </w:tr>
      <w:tr w:rsidR="005F4733" w14:paraId="53865022" w14:textId="77777777" w:rsidTr="00763684">
        <w:tc>
          <w:tcPr>
            <w:tcW w:w="2517" w:type="dxa"/>
            <w:vMerge w:val="restart"/>
            <w:shd w:val="clear" w:color="auto" w:fill="E6E6E6"/>
            <w:vAlign w:val="center"/>
          </w:tcPr>
          <w:p w14:paraId="3BE91D1A" w14:textId="77777777" w:rsidR="005F4733" w:rsidRPr="0001755A" w:rsidRDefault="005F4733" w:rsidP="0060102A">
            <w:pPr>
              <w:spacing w:before="40" w:after="0" w:line="240" w:lineRule="auto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01755A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>Use safer opioid prescribing practices in opioid-naïve patients with severe, acute pain to avoid overprescribing and minimize potential for physical dependence and/or addiction.</w:t>
            </w:r>
          </w:p>
          <w:p w14:paraId="790E4330" w14:textId="77777777" w:rsidR="005F4733" w:rsidRPr="00317B0C" w:rsidRDefault="005F4733" w:rsidP="0060102A">
            <w:pPr>
              <w:spacing w:before="40"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1873" w:type="dxa"/>
          </w:tcPr>
          <w:p w14:paraId="333472FD" w14:textId="212EE20C" w:rsidR="00841CC5" w:rsidRPr="00317B0C" w:rsidRDefault="005F4733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317B0C">
              <w:rPr>
                <w:rFonts w:asciiTheme="majorHAnsi" w:hAnsiTheme="majorHAnsi" w:cstheme="minorHAnsi"/>
                <w:b/>
                <w:bCs/>
                <w:sz w:val="22"/>
              </w:rPr>
              <w:t xml:space="preserve">Patients with </w:t>
            </w:r>
            <w:r w:rsidR="007C12B6">
              <w:rPr>
                <w:rFonts w:asciiTheme="majorHAnsi" w:hAnsiTheme="majorHAnsi" w:cstheme="minorHAnsi"/>
                <w:b/>
                <w:bCs/>
                <w:sz w:val="22"/>
              </w:rPr>
              <w:t xml:space="preserve">acute </w:t>
            </w:r>
            <w:r w:rsidRPr="00317B0C">
              <w:rPr>
                <w:rFonts w:asciiTheme="majorHAnsi" w:hAnsiTheme="majorHAnsi" w:cstheme="minorHAnsi"/>
                <w:b/>
                <w:bCs/>
                <w:sz w:val="22"/>
              </w:rPr>
              <w:t>non-surgical pain</w:t>
            </w:r>
            <w:r w:rsidRPr="00317B0C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</w:p>
          <w:p w14:paraId="7E2C12C6" w14:textId="2847E91E" w:rsidR="00841CC5" w:rsidRPr="00317B0C" w:rsidRDefault="005F4733" w:rsidP="00F97B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317B0C">
              <w:rPr>
                <w:rFonts w:asciiTheme="majorHAnsi" w:hAnsiTheme="majorHAnsi" w:cstheme="minorHAnsi"/>
                <w:bCs/>
                <w:sz w:val="22"/>
              </w:rPr>
              <w:t xml:space="preserve">If an opioid is needed, </w:t>
            </w:r>
            <w:r w:rsidR="00701BDD">
              <w:rPr>
                <w:rFonts w:asciiTheme="majorHAnsi" w:hAnsiTheme="majorHAnsi" w:cstheme="minorHAnsi"/>
                <w:bCs/>
                <w:sz w:val="22"/>
              </w:rPr>
              <w:t>offer</w:t>
            </w:r>
            <w:r w:rsidR="007C12B6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Pr="00317B0C">
              <w:rPr>
                <w:rFonts w:asciiTheme="majorHAnsi" w:hAnsiTheme="majorHAnsi" w:cstheme="minorHAnsi"/>
                <w:bCs/>
                <w:sz w:val="22"/>
              </w:rPr>
              <w:t xml:space="preserve">a non-refillable prescription with a </w:t>
            </w:r>
            <w:r w:rsidRPr="00317B0C">
              <w:rPr>
                <w:rFonts w:asciiTheme="majorHAnsi" w:hAnsiTheme="majorHAnsi" w:cstheme="minorHAnsi"/>
                <w:bCs/>
                <w:sz w:val="22"/>
                <w:u w:val="single"/>
              </w:rPr>
              <w:t>maximum 3-day supply</w:t>
            </w:r>
            <w:r w:rsidRPr="00317B0C">
              <w:rPr>
                <w:rFonts w:asciiTheme="majorHAnsi" w:hAnsiTheme="majorHAnsi" w:cstheme="minorHAnsi"/>
                <w:bCs/>
                <w:sz w:val="22"/>
              </w:rPr>
              <w:t xml:space="preserve">. </w:t>
            </w:r>
          </w:p>
          <w:p w14:paraId="7BD91EFA" w14:textId="0F07056B" w:rsidR="007C12B6" w:rsidRPr="00BE70A6" w:rsidRDefault="00BD3538" w:rsidP="00E42B74">
            <w:pPr>
              <w:pStyle w:val="ListParagraph"/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eastAsia="Times New Roman" w:hAnsiTheme="majorHAnsi" w:cstheme="minorHAnsi"/>
                <w:sz w:val="22"/>
              </w:rPr>
              <w:t>*</w:t>
            </w:r>
            <w:r w:rsidR="007C12B6" w:rsidRPr="00834F23">
              <w:rPr>
                <w:rFonts w:asciiTheme="majorHAnsi" w:eastAsia="Times New Roman" w:hAnsiTheme="majorHAnsi" w:cstheme="minorHAnsi"/>
                <w:sz w:val="22"/>
              </w:rPr>
              <w:t>Rarely will more tablets be required</w:t>
            </w:r>
            <w:r w:rsidR="00A74A91">
              <w:rPr>
                <w:rFonts w:asciiTheme="majorHAnsi" w:eastAsia="Times New Roman" w:hAnsiTheme="majorHAnsi" w:cstheme="minorHAnsi"/>
                <w:sz w:val="22"/>
              </w:rPr>
              <w:t xml:space="preserve">. However, clinically </w:t>
            </w:r>
            <w:r w:rsidR="0036202D">
              <w:rPr>
                <w:rFonts w:asciiTheme="majorHAnsi" w:eastAsia="Times New Roman" w:hAnsiTheme="majorHAnsi" w:cstheme="minorHAnsi"/>
                <w:sz w:val="22"/>
              </w:rPr>
              <w:t xml:space="preserve">appropriate exceptions may be considered </w:t>
            </w:r>
            <w:r w:rsidR="007C12B6" w:rsidRPr="00834F23">
              <w:rPr>
                <w:rFonts w:asciiTheme="majorHAnsi" w:eastAsia="Times New Roman" w:hAnsiTheme="majorHAnsi" w:cstheme="minorHAnsi"/>
                <w:sz w:val="22"/>
              </w:rPr>
              <w:t>on a case-by-case basis</w:t>
            </w:r>
            <w:r w:rsidR="0036202D">
              <w:rPr>
                <w:rFonts w:asciiTheme="majorHAnsi" w:eastAsia="Times New Roman" w:hAnsiTheme="majorHAnsi" w:cstheme="minorHAnsi"/>
                <w:sz w:val="22"/>
              </w:rPr>
              <w:t xml:space="preserve"> and in these instances </w:t>
            </w:r>
            <w:r w:rsidR="00834F23" w:rsidRPr="00BE70A6">
              <w:rPr>
                <w:rFonts w:asciiTheme="majorHAnsi" w:hAnsiTheme="majorHAnsi"/>
                <w:sz w:val="22"/>
              </w:rPr>
              <w:t xml:space="preserve">should require </w:t>
            </w:r>
            <w:r w:rsidR="00574416">
              <w:rPr>
                <w:rFonts w:asciiTheme="majorHAnsi" w:hAnsiTheme="majorHAnsi"/>
                <w:sz w:val="22"/>
              </w:rPr>
              <w:t>additional</w:t>
            </w:r>
            <w:r w:rsidR="00574416" w:rsidRPr="00BE70A6">
              <w:rPr>
                <w:rFonts w:asciiTheme="majorHAnsi" w:hAnsiTheme="majorHAnsi"/>
                <w:sz w:val="22"/>
              </w:rPr>
              <w:t xml:space="preserve"> </w:t>
            </w:r>
            <w:r w:rsidR="00834F23" w:rsidRPr="00BE70A6">
              <w:rPr>
                <w:rFonts w:asciiTheme="majorHAnsi" w:hAnsiTheme="majorHAnsi"/>
                <w:sz w:val="22"/>
              </w:rPr>
              <w:t xml:space="preserve">patient assessment to justify </w:t>
            </w:r>
            <w:r w:rsidR="00834F23">
              <w:rPr>
                <w:rFonts w:asciiTheme="majorHAnsi" w:hAnsiTheme="majorHAnsi"/>
                <w:sz w:val="22"/>
              </w:rPr>
              <w:t xml:space="preserve">that the </w:t>
            </w:r>
            <w:r w:rsidR="00834F23" w:rsidRPr="00BE70A6">
              <w:rPr>
                <w:rFonts w:asciiTheme="majorHAnsi" w:hAnsiTheme="majorHAnsi"/>
                <w:sz w:val="22"/>
              </w:rPr>
              <w:t>benefit</w:t>
            </w:r>
            <w:r w:rsidR="00834F23">
              <w:rPr>
                <w:rFonts w:asciiTheme="majorHAnsi" w:hAnsiTheme="majorHAnsi"/>
                <w:sz w:val="22"/>
              </w:rPr>
              <w:t>s</w:t>
            </w:r>
            <w:r w:rsidR="00834F23" w:rsidRPr="00BE70A6">
              <w:rPr>
                <w:rFonts w:asciiTheme="majorHAnsi" w:hAnsiTheme="majorHAnsi"/>
                <w:sz w:val="22"/>
              </w:rPr>
              <w:t xml:space="preserve"> </w:t>
            </w:r>
            <w:r w:rsidR="00574416">
              <w:rPr>
                <w:rFonts w:asciiTheme="majorHAnsi" w:hAnsiTheme="majorHAnsi"/>
                <w:sz w:val="22"/>
              </w:rPr>
              <w:t>outweigh</w:t>
            </w:r>
            <w:r w:rsidR="00574416" w:rsidRPr="00BE70A6">
              <w:rPr>
                <w:rFonts w:asciiTheme="majorHAnsi" w:hAnsiTheme="majorHAnsi"/>
                <w:sz w:val="22"/>
              </w:rPr>
              <w:t xml:space="preserve"> </w:t>
            </w:r>
            <w:r w:rsidR="00F35487">
              <w:rPr>
                <w:rFonts w:asciiTheme="majorHAnsi" w:hAnsiTheme="majorHAnsi"/>
                <w:sz w:val="22"/>
              </w:rPr>
              <w:t xml:space="preserve">the </w:t>
            </w:r>
            <w:r w:rsidR="00834F23" w:rsidRPr="00BE70A6">
              <w:rPr>
                <w:rFonts w:asciiTheme="majorHAnsi" w:hAnsiTheme="majorHAnsi"/>
                <w:sz w:val="22"/>
              </w:rPr>
              <w:t>risk</w:t>
            </w:r>
            <w:r w:rsidR="00834F23">
              <w:rPr>
                <w:rFonts w:asciiTheme="majorHAnsi" w:hAnsiTheme="majorHAnsi"/>
                <w:sz w:val="22"/>
              </w:rPr>
              <w:t>s.</w:t>
            </w:r>
          </w:p>
        </w:tc>
      </w:tr>
      <w:tr w:rsidR="005F4733" w14:paraId="51C95CA3" w14:textId="77777777" w:rsidTr="00763684">
        <w:tc>
          <w:tcPr>
            <w:tcW w:w="2517" w:type="dxa"/>
            <w:vMerge/>
            <w:shd w:val="clear" w:color="auto" w:fill="E6E6E6"/>
          </w:tcPr>
          <w:p w14:paraId="62BD172B" w14:textId="77777777" w:rsidR="005F4733" w:rsidRPr="00317B0C" w:rsidRDefault="005F4733" w:rsidP="00CB2A25">
            <w:pPr>
              <w:spacing w:before="40"/>
              <w:rPr>
                <w:rFonts w:asciiTheme="majorHAnsi" w:hAnsiTheme="majorHAnsi"/>
                <w:sz w:val="22"/>
              </w:rPr>
            </w:pPr>
          </w:p>
        </w:tc>
        <w:tc>
          <w:tcPr>
            <w:tcW w:w="11873" w:type="dxa"/>
          </w:tcPr>
          <w:p w14:paraId="0B2EBF44" w14:textId="1EA29F88" w:rsidR="00841CC5" w:rsidRPr="00317B0C" w:rsidRDefault="00841CC5" w:rsidP="007B671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317B0C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 xml:space="preserve">Patients with </w:t>
            </w:r>
            <w:r w:rsidR="007C12B6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 xml:space="preserve">acute </w:t>
            </w:r>
            <w:r w:rsidR="005F4733" w:rsidRPr="00317B0C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>post-procedural and</w:t>
            </w:r>
            <w:r w:rsidRPr="00317B0C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>/or</w:t>
            </w:r>
            <w:r w:rsidR="005F4733" w:rsidRPr="00317B0C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 xml:space="preserve"> post-surgical </w:t>
            </w:r>
            <w:r w:rsidRPr="00317B0C">
              <w:rPr>
                <w:rFonts w:asciiTheme="majorHAnsi" w:eastAsia="Times New Roman" w:hAnsiTheme="majorHAnsi" w:cstheme="minorHAnsi"/>
                <w:b/>
                <w:bCs/>
                <w:sz w:val="22"/>
              </w:rPr>
              <w:t>pain</w:t>
            </w:r>
          </w:p>
          <w:p w14:paraId="236F4755" w14:textId="45B5E309" w:rsidR="00532F84" w:rsidRPr="00317B0C" w:rsidRDefault="00841CC5" w:rsidP="00F97B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</w:rPr>
            </w:pPr>
            <w:r w:rsidRPr="00317B0C">
              <w:rPr>
                <w:rFonts w:asciiTheme="majorHAnsi" w:hAnsiTheme="majorHAnsi" w:cstheme="minorHAnsi"/>
                <w:bCs/>
                <w:sz w:val="22"/>
              </w:rPr>
              <w:t xml:space="preserve">If an opioid is needed, </w:t>
            </w:r>
            <w:r w:rsidR="004E4515">
              <w:rPr>
                <w:rFonts w:asciiTheme="majorHAnsi" w:hAnsiTheme="majorHAnsi" w:cstheme="minorHAnsi"/>
                <w:bCs/>
                <w:sz w:val="22"/>
              </w:rPr>
              <w:t xml:space="preserve">recommend </w:t>
            </w:r>
            <w:r w:rsidR="00701BDD">
              <w:rPr>
                <w:rFonts w:asciiTheme="majorHAnsi" w:hAnsiTheme="majorHAnsi" w:cstheme="minorHAnsi"/>
                <w:bCs/>
                <w:sz w:val="22"/>
              </w:rPr>
              <w:t>offer</w:t>
            </w:r>
            <w:r w:rsidR="004E4515">
              <w:rPr>
                <w:rFonts w:asciiTheme="majorHAnsi" w:hAnsiTheme="majorHAnsi" w:cstheme="minorHAnsi"/>
                <w:bCs/>
                <w:sz w:val="22"/>
              </w:rPr>
              <w:t>ing</w:t>
            </w:r>
            <w:r w:rsidRPr="00317B0C">
              <w:rPr>
                <w:rFonts w:asciiTheme="majorHAnsi" w:hAnsiTheme="majorHAnsi" w:cstheme="minorHAnsi"/>
                <w:bCs/>
                <w:sz w:val="22"/>
              </w:rPr>
              <w:t xml:space="preserve"> a non-refillable prescription with a </w:t>
            </w:r>
            <w:r w:rsidRPr="00317B0C">
              <w:rPr>
                <w:rFonts w:asciiTheme="majorHAnsi" w:hAnsiTheme="majorHAnsi" w:cstheme="minorHAnsi"/>
                <w:bCs/>
                <w:sz w:val="22"/>
                <w:u w:val="single"/>
              </w:rPr>
              <w:t>maximum 5-day supply</w:t>
            </w:r>
            <w:r w:rsidRPr="00317B0C">
              <w:rPr>
                <w:rFonts w:asciiTheme="majorHAnsi" w:hAnsiTheme="majorHAnsi" w:cstheme="minorHAnsi"/>
                <w:bCs/>
                <w:sz w:val="22"/>
              </w:rPr>
              <w:t>.</w:t>
            </w:r>
          </w:p>
          <w:p w14:paraId="6848F891" w14:textId="77AD1AF6" w:rsidR="00834F23" w:rsidRPr="00317B0C" w:rsidRDefault="00E42B74" w:rsidP="007A7603">
            <w:pPr>
              <w:pStyle w:val="ListParagraph"/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</w:rPr>
            </w:pPr>
            <w:r>
              <w:rPr>
                <w:rFonts w:asciiTheme="majorHAnsi" w:eastAsia="Times New Roman" w:hAnsiTheme="majorHAnsi" w:cstheme="minorHAnsi"/>
                <w:sz w:val="22"/>
              </w:rPr>
              <w:t>*</w:t>
            </w:r>
            <w:r w:rsidRPr="00834F23">
              <w:rPr>
                <w:rFonts w:asciiTheme="majorHAnsi" w:eastAsia="Times New Roman" w:hAnsiTheme="majorHAnsi" w:cstheme="minorHAnsi"/>
                <w:sz w:val="22"/>
              </w:rPr>
              <w:t>Rarely will more tablets be required</w:t>
            </w:r>
            <w:r>
              <w:rPr>
                <w:rFonts w:asciiTheme="majorHAnsi" w:eastAsia="Times New Roman" w:hAnsiTheme="majorHAnsi" w:cstheme="minorHAnsi"/>
                <w:sz w:val="22"/>
              </w:rPr>
              <w:t xml:space="preserve">. However, clinically appropriate exceptions may be considered </w:t>
            </w:r>
            <w:r w:rsidRPr="00834F23">
              <w:rPr>
                <w:rFonts w:asciiTheme="majorHAnsi" w:eastAsia="Times New Roman" w:hAnsiTheme="majorHAnsi" w:cstheme="minorHAnsi"/>
                <w:sz w:val="22"/>
              </w:rPr>
              <w:t>on a case-by-case basis</w:t>
            </w:r>
            <w:r>
              <w:rPr>
                <w:rFonts w:asciiTheme="majorHAnsi" w:eastAsia="Times New Roman" w:hAnsiTheme="majorHAnsi" w:cstheme="minorHAnsi"/>
                <w:sz w:val="22"/>
              </w:rPr>
              <w:t xml:space="preserve"> and in these instances </w:t>
            </w:r>
            <w:r w:rsidRPr="00BE70A6">
              <w:rPr>
                <w:rFonts w:asciiTheme="majorHAnsi" w:hAnsiTheme="majorHAnsi"/>
                <w:sz w:val="22"/>
              </w:rPr>
              <w:t xml:space="preserve">should require </w:t>
            </w:r>
            <w:r>
              <w:rPr>
                <w:rFonts w:asciiTheme="majorHAnsi" w:hAnsiTheme="majorHAnsi"/>
                <w:sz w:val="22"/>
              </w:rPr>
              <w:t>additional</w:t>
            </w:r>
            <w:r w:rsidRPr="00BE70A6">
              <w:rPr>
                <w:rFonts w:asciiTheme="majorHAnsi" w:hAnsiTheme="majorHAnsi"/>
                <w:sz w:val="22"/>
              </w:rPr>
              <w:t xml:space="preserve"> patient assessment to justify </w:t>
            </w:r>
            <w:r>
              <w:rPr>
                <w:rFonts w:asciiTheme="majorHAnsi" w:hAnsiTheme="majorHAnsi"/>
                <w:sz w:val="22"/>
              </w:rPr>
              <w:t xml:space="preserve">that the </w:t>
            </w:r>
            <w:r w:rsidRPr="00BE70A6">
              <w:rPr>
                <w:rFonts w:asciiTheme="majorHAnsi" w:hAnsiTheme="majorHAnsi"/>
                <w:sz w:val="22"/>
              </w:rPr>
              <w:t>benefit</w:t>
            </w:r>
            <w:r>
              <w:rPr>
                <w:rFonts w:asciiTheme="majorHAnsi" w:hAnsiTheme="majorHAnsi"/>
                <w:sz w:val="22"/>
              </w:rPr>
              <w:t>s</w:t>
            </w:r>
            <w:r w:rsidRPr="00BE70A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outweigh</w:t>
            </w:r>
            <w:r w:rsidRPr="00BE70A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the </w:t>
            </w:r>
            <w:r w:rsidRPr="00BE70A6">
              <w:rPr>
                <w:rFonts w:asciiTheme="majorHAnsi" w:hAnsiTheme="majorHAnsi"/>
                <w:sz w:val="22"/>
              </w:rPr>
              <w:t>risk</w:t>
            </w:r>
            <w:r>
              <w:rPr>
                <w:rFonts w:asciiTheme="majorHAnsi" w:hAnsiTheme="majorHAnsi"/>
                <w:sz w:val="22"/>
              </w:rPr>
              <w:t>s</w:t>
            </w:r>
            <w:r w:rsidR="0036202D">
              <w:rPr>
                <w:rFonts w:asciiTheme="majorHAnsi" w:hAnsiTheme="majorHAnsi"/>
                <w:sz w:val="22"/>
              </w:rPr>
              <w:t>.</w:t>
            </w:r>
          </w:p>
          <w:p w14:paraId="30373A6E" w14:textId="6B360ACA" w:rsidR="005F4733" w:rsidRPr="00317B0C" w:rsidRDefault="005F4733" w:rsidP="00F97B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</w:rPr>
            </w:pP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If </w:t>
            </w:r>
            <w:r w:rsidR="00914E24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a 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>longer course of opioid therapy is needed</w:t>
            </w:r>
            <w:r w:rsidR="00532F84"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to manage severe pain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, </w:t>
            </w:r>
            <w:r w:rsidR="00701BDD">
              <w:rPr>
                <w:rFonts w:asciiTheme="majorHAnsi" w:eastAsia="Times New Roman" w:hAnsiTheme="majorHAnsi" w:cstheme="minorHAnsi"/>
                <w:bCs/>
                <w:sz w:val="22"/>
              </w:rPr>
              <w:t>avoid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more than 10</w:t>
            </w:r>
            <w:r w:rsidR="00460BDA">
              <w:rPr>
                <w:rFonts w:asciiTheme="majorHAnsi" w:eastAsia="Times New Roman" w:hAnsiTheme="majorHAnsi" w:cstheme="minorHAnsi"/>
                <w:bCs/>
                <w:sz w:val="22"/>
              </w:rPr>
              <w:t>–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>12 days total to decrease the risk of side effects and long-term dependence.</w:t>
            </w:r>
          </w:p>
        </w:tc>
      </w:tr>
      <w:tr w:rsidR="005F4733" w14:paraId="31FCB784" w14:textId="77777777" w:rsidTr="00BD1742">
        <w:trPr>
          <w:trHeight w:val="1070"/>
        </w:trPr>
        <w:tc>
          <w:tcPr>
            <w:tcW w:w="2517" w:type="dxa"/>
            <w:vMerge/>
            <w:shd w:val="clear" w:color="auto" w:fill="E6E6E6"/>
          </w:tcPr>
          <w:p w14:paraId="34F3A86A" w14:textId="77777777" w:rsidR="005F4733" w:rsidRPr="00317B0C" w:rsidRDefault="005F4733" w:rsidP="00CB2A25">
            <w:pPr>
              <w:spacing w:before="40"/>
              <w:rPr>
                <w:rFonts w:asciiTheme="majorHAnsi" w:hAnsiTheme="majorHAnsi"/>
                <w:sz w:val="22"/>
              </w:rPr>
            </w:pPr>
          </w:p>
        </w:tc>
        <w:tc>
          <w:tcPr>
            <w:tcW w:w="11873" w:type="dxa"/>
          </w:tcPr>
          <w:p w14:paraId="0290C420" w14:textId="77777777" w:rsidR="00CB2A25" w:rsidRDefault="005F4733" w:rsidP="007B6711">
            <w:p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 w:rsidRPr="00317B0C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  <w:t xml:space="preserve">Additional </w:t>
            </w:r>
            <w:r w:rsidR="00BA7379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  <w:t xml:space="preserve">Risk Mitigation </w:t>
            </w:r>
            <w:r w:rsidR="00833562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  <w:t>Strategie</w:t>
            </w:r>
            <w:r w:rsidRPr="00317B0C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  <w:t>s</w:t>
            </w:r>
          </w:p>
          <w:p w14:paraId="06C0BC65" w14:textId="2F9BC575" w:rsidR="0027531A" w:rsidRPr="00C87663" w:rsidRDefault="0027531A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</w:pPr>
            <w:r w:rsidRPr="00C87663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>Goal</w:t>
            </w:r>
            <w:r w:rsidR="00914E24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>s</w:t>
            </w:r>
            <w:r w:rsidR="00C87663" w:rsidRPr="00C87663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 xml:space="preserve"> of </w:t>
            </w:r>
            <w:r w:rsidR="0036202D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 xml:space="preserve">Pain </w:t>
            </w:r>
            <w:r w:rsidR="00C87663" w:rsidRPr="00C87663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 xml:space="preserve">Treatment </w:t>
            </w:r>
            <w:r w:rsidR="0036202D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 xml:space="preserve">with Opioids </w:t>
            </w:r>
            <w:r w:rsidR="00C87663" w:rsidRPr="00C87663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>and Expectation-Setting</w:t>
            </w:r>
          </w:p>
          <w:p w14:paraId="743E54D9" w14:textId="47247A8E" w:rsidR="00750A8F" w:rsidRPr="00750A8F" w:rsidRDefault="00750A8F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</w:rPr>
            </w:pPr>
            <w:r>
              <w:rPr>
                <w:rFonts w:asciiTheme="majorHAnsi" w:eastAsia="Times New Roman" w:hAnsiTheme="majorHAnsi" w:cstheme="minorHAnsi"/>
                <w:bCs/>
                <w:sz w:val="22"/>
              </w:rPr>
              <w:t>T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>reat with opioids at the lowest effective dose for the shortest duration of therapy necessary f</w:t>
            </w:r>
            <w:r>
              <w:rPr>
                <w:rFonts w:asciiTheme="majorHAnsi" w:eastAsia="Times New Roman" w:hAnsiTheme="majorHAnsi" w:cstheme="minorHAnsi"/>
                <w:bCs/>
                <w:sz w:val="22"/>
              </w:rPr>
              <w:t>or severe pain management</w:t>
            </w:r>
            <w:r w:rsidR="0036202D">
              <w:rPr>
                <w:rFonts w:asciiTheme="majorHAnsi" w:eastAsia="Times New Roman" w:hAnsiTheme="majorHAnsi" w:cstheme="minorHAnsi"/>
                <w:bCs/>
                <w:sz w:val="22"/>
              </w:rPr>
              <w:t>,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realizing there may be specific situations in which a longer course may be needed</w:t>
            </w:r>
            <w:r>
              <w:rPr>
                <w:rFonts w:asciiTheme="majorHAnsi" w:eastAsia="Times New Roman" w:hAnsiTheme="majorHAnsi" w:cstheme="minorHAnsi"/>
                <w:bCs/>
                <w:sz w:val="22"/>
              </w:rPr>
              <w:t>.</w:t>
            </w:r>
          </w:p>
          <w:p w14:paraId="0096E5A2" w14:textId="47B71ECA" w:rsidR="0036202D" w:rsidRPr="0036202D" w:rsidRDefault="00207919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ajorHAnsi" w:eastAsia="Times New Roman" w:hAnsiTheme="majorHAnsi" w:cstheme="minorHAnsi"/>
                <w:sz w:val="22"/>
              </w:rPr>
              <w:t>A</w:t>
            </w:r>
            <w:r w:rsidR="00D4032A">
              <w:rPr>
                <w:rFonts w:asciiTheme="majorHAnsi" w:eastAsia="Times New Roman" w:hAnsiTheme="majorHAnsi" w:cstheme="minorHAnsi"/>
                <w:sz w:val="22"/>
              </w:rPr>
              <w:t xml:space="preserve">void new dependence/addiction by </w:t>
            </w:r>
            <w:r w:rsidR="00037995" w:rsidRPr="00317B0C">
              <w:rPr>
                <w:rFonts w:asciiTheme="majorHAnsi" w:eastAsia="Times New Roman" w:hAnsiTheme="majorHAnsi" w:cstheme="minorHAnsi"/>
                <w:bCs/>
                <w:sz w:val="22"/>
              </w:rPr>
              <w:t>defer</w:t>
            </w:r>
            <w:r w:rsidR="00037995">
              <w:rPr>
                <w:rFonts w:asciiTheme="majorHAnsi" w:eastAsia="Times New Roman" w:hAnsiTheme="majorHAnsi" w:cstheme="minorHAnsi"/>
                <w:bCs/>
                <w:sz w:val="22"/>
              </w:rPr>
              <w:t>ring</w:t>
            </w:r>
            <w:r w:rsidR="000B244E"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</w:t>
            </w:r>
            <w:r w:rsidR="00914E24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the </w:t>
            </w:r>
            <w:r w:rsidR="000B244E"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use of opioids </w:t>
            </w:r>
            <w:r w:rsidR="0060102A">
              <w:rPr>
                <w:rFonts w:asciiTheme="majorHAnsi" w:eastAsia="Times New Roman" w:hAnsiTheme="majorHAnsi" w:cstheme="minorHAnsi"/>
                <w:bCs/>
                <w:sz w:val="22"/>
              </w:rPr>
              <w:t>and</w:t>
            </w:r>
            <w:r w:rsidR="000B244E"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employing non-pharmacologic and non-opi</w:t>
            </w:r>
            <w:r w:rsidR="0060102A">
              <w:rPr>
                <w:rFonts w:asciiTheme="majorHAnsi" w:eastAsia="Times New Roman" w:hAnsiTheme="majorHAnsi" w:cstheme="minorHAnsi"/>
                <w:bCs/>
                <w:sz w:val="22"/>
              </w:rPr>
              <w:t>oid therapies first, reserving</w:t>
            </w:r>
            <w:r w:rsidR="000B244E"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opioids for only when necessary</w:t>
            </w:r>
            <w:r w:rsidR="000B244E" w:rsidRPr="00D4032A">
              <w:rPr>
                <w:rFonts w:asciiTheme="majorHAnsi" w:eastAsia="Times New Roman" w:hAnsiTheme="majorHAnsi" w:cstheme="minorHAnsi"/>
                <w:bCs/>
                <w:sz w:val="22"/>
              </w:rPr>
              <w:t>.</w:t>
            </w:r>
            <w:r w:rsidR="00D4032A" w:rsidRPr="00D4032A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</w:t>
            </w:r>
          </w:p>
          <w:p w14:paraId="2B082E16" w14:textId="37F436C8" w:rsidR="00D4032A" w:rsidRPr="0027531A" w:rsidRDefault="00D4032A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 w:rsidRPr="00D4032A">
              <w:rPr>
                <w:rFonts w:asciiTheme="majorHAnsi" w:hAnsiTheme="majorHAnsi" w:cstheme="minorHAnsi"/>
                <w:bCs/>
                <w:sz w:val="22"/>
              </w:rPr>
              <w:t>Consider opioids only when benefits are likely to outweigh risks.</w:t>
            </w:r>
            <w:r w:rsidR="0027531A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27531A" w:rsidRPr="00317B0C">
              <w:rPr>
                <w:rFonts w:asciiTheme="majorHAnsi" w:hAnsiTheme="majorHAnsi" w:cstheme="minorHAnsi"/>
                <w:bCs/>
                <w:sz w:val="22"/>
              </w:rPr>
              <w:t xml:space="preserve">Studies show increasing </w:t>
            </w:r>
            <w:r w:rsidR="0027531A" w:rsidRPr="00317B0C">
              <w:rPr>
                <w:rFonts w:asciiTheme="majorHAnsi" w:hAnsiTheme="majorHAnsi" w:cstheme="minorHAnsi"/>
                <w:sz w:val="22"/>
              </w:rPr>
              <w:t>rates of drug dependence after just 3</w:t>
            </w:r>
            <w:r w:rsidR="00460BDA">
              <w:rPr>
                <w:rFonts w:asciiTheme="majorHAnsi" w:eastAsia="Times New Roman" w:hAnsiTheme="majorHAnsi" w:cstheme="minorHAnsi"/>
                <w:bCs/>
                <w:sz w:val="22"/>
              </w:rPr>
              <w:t>–</w:t>
            </w:r>
            <w:r w:rsidR="0027531A" w:rsidRPr="00317B0C">
              <w:rPr>
                <w:rFonts w:asciiTheme="majorHAnsi" w:hAnsiTheme="majorHAnsi" w:cstheme="minorHAnsi"/>
                <w:sz w:val="22"/>
              </w:rPr>
              <w:t>5 days of opioid prescribing,</w:t>
            </w:r>
            <w:r w:rsidR="0027531A" w:rsidRPr="00317B0C" w:rsidDel="00510D47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27531A" w:rsidRPr="00317B0C">
              <w:rPr>
                <w:rFonts w:asciiTheme="majorHAnsi" w:hAnsiTheme="majorHAnsi" w:cstheme="minorHAnsi"/>
                <w:bCs/>
                <w:sz w:val="22"/>
              </w:rPr>
              <w:t xml:space="preserve">with potential </w:t>
            </w:r>
            <w:r w:rsidR="0027531A">
              <w:rPr>
                <w:rFonts w:asciiTheme="majorHAnsi" w:hAnsiTheme="majorHAnsi" w:cstheme="minorHAnsi"/>
                <w:bCs/>
                <w:sz w:val="22"/>
              </w:rPr>
              <w:t xml:space="preserve">adverse </w:t>
            </w:r>
            <w:r w:rsidR="0027531A" w:rsidRPr="00317B0C">
              <w:rPr>
                <w:rFonts w:asciiTheme="majorHAnsi" w:hAnsiTheme="majorHAnsi" w:cstheme="minorHAnsi"/>
                <w:bCs/>
                <w:sz w:val="22"/>
              </w:rPr>
              <w:t>long-term consequences.</w:t>
            </w:r>
          </w:p>
          <w:p w14:paraId="73DCBFB9" w14:textId="1FDA4594" w:rsidR="00CB2A25" w:rsidRPr="00317B0C" w:rsidRDefault="008B1B84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E</w:t>
            </w:r>
            <w:r w:rsidR="00D4032A">
              <w:rPr>
                <w:rFonts w:asciiTheme="majorHAnsi" w:hAnsiTheme="majorHAnsi" w:cstheme="minorHAnsi"/>
                <w:sz w:val="22"/>
              </w:rPr>
              <w:t>ngag</w:t>
            </w:r>
            <w:r w:rsidR="002326A2">
              <w:rPr>
                <w:rFonts w:asciiTheme="majorHAnsi" w:hAnsiTheme="majorHAnsi" w:cstheme="minorHAnsi"/>
                <w:sz w:val="22"/>
              </w:rPr>
              <w:t>ing</w:t>
            </w:r>
            <w:r w:rsidR="005F4733" w:rsidRPr="00D4032A">
              <w:rPr>
                <w:rFonts w:asciiTheme="majorHAnsi" w:eastAsia="Times New Roman" w:hAnsiTheme="majorHAnsi" w:cstheme="minorHAnsi"/>
                <w:sz w:val="22"/>
              </w:rPr>
              <w:t xml:space="preserve"> patients in discussions about their</w:t>
            </w:r>
            <w:r w:rsidR="005F4733" w:rsidRPr="00317B0C">
              <w:rPr>
                <w:rFonts w:asciiTheme="majorHAnsi" w:eastAsia="Times New Roman" w:hAnsiTheme="majorHAnsi" w:cstheme="minorHAnsi"/>
                <w:sz w:val="22"/>
              </w:rPr>
              <w:t xml:space="preserve"> pain and setting realistic expectations </w:t>
            </w:r>
            <w:r w:rsidR="00CB2A25" w:rsidRPr="00317B0C">
              <w:rPr>
                <w:rFonts w:asciiTheme="majorHAnsi" w:eastAsia="Times New Roman" w:hAnsiTheme="majorHAnsi" w:cstheme="minorHAnsi"/>
                <w:sz w:val="22"/>
              </w:rPr>
              <w:t xml:space="preserve">regarding </w:t>
            </w:r>
            <w:r w:rsidR="005F4733" w:rsidRPr="00317B0C">
              <w:rPr>
                <w:rFonts w:asciiTheme="majorHAnsi" w:eastAsia="Times New Roman" w:hAnsiTheme="majorHAnsi" w:cstheme="minorHAnsi"/>
                <w:sz w:val="22"/>
              </w:rPr>
              <w:t>pain management is critical. Rather than “zero pain,” the preferred aim is to achieve “functional pain</w:t>
            </w:r>
            <w:r w:rsidR="00CB2A25" w:rsidRPr="00317B0C">
              <w:rPr>
                <w:rFonts w:asciiTheme="majorHAnsi" w:eastAsia="Times New Roman" w:hAnsiTheme="majorHAnsi" w:cstheme="minorHAnsi"/>
                <w:sz w:val="22"/>
              </w:rPr>
              <w:t>,</w:t>
            </w:r>
            <w:r w:rsidR="005F4733" w:rsidRPr="00317B0C">
              <w:rPr>
                <w:rFonts w:asciiTheme="majorHAnsi" w:eastAsia="Times New Roman" w:hAnsiTheme="majorHAnsi" w:cstheme="minorHAnsi"/>
                <w:sz w:val="22"/>
              </w:rPr>
              <w:t xml:space="preserve">” whereby pain is controlled to </w:t>
            </w:r>
            <w:r w:rsidR="00D6518F">
              <w:rPr>
                <w:rFonts w:asciiTheme="majorHAnsi" w:eastAsia="Times New Roman" w:hAnsiTheme="majorHAnsi" w:cstheme="minorHAnsi"/>
                <w:sz w:val="22"/>
              </w:rPr>
              <w:t>a</w:t>
            </w:r>
            <w:r w:rsidR="00D6518F" w:rsidRPr="00317B0C">
              <w:rPr>
                <w:rFonts w:asciiTheme="majorHAnsi" w:eastAsia="Times New Roman" w:hAnsiTheme="majorHAnsi" w:cstheme="minorHAnsi"/>
                <w:sz w:val="22"/>
              </w:rPr>
              <w:t xml:space="preserve"> </w:t>
            </w:r>
            <w:r w:rsidR="005F4733" w:rsidRPr="00317B0C">
              <w:rPr>
                <w:rFonts w:asciiTheme="majorHAnsi" w:eastAsia="Times New Roman" w:hAnsiTheme="majorHAnsi" w:cstheme="minorHAnsi"/>
                <w:sz w:val="22"/>
              </w:rPr>
              <w:t>degree that patients can function.</w:t>
            </w:r>
          </w:p>
          <w:p w14:paraId="235B5DF2" w14:textId="77777777" w:rsidR="00B954D5" w:rsidRPr="00C87663" w:rsidRDefault="00B954D5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C87663">
              <w:rPr>
                <w:rFonts w:asciiTheme="majorHAnsi" w:hAnsiTheme="majorHAnsi" w:cstheme="minorHAnsi"/>
                <w:bCs/>
                <w:sz w:val="22"/>
                <w:u w:val="single"/>
              </w:rPr>
              <w:t>Opioid Formulation and Dosing Considerations</w:t>
            </w:r>
          </w:p>
          <w:p w14:paraId="1300EDB5" w14:textId="37D28C96" w:rsidR="008B1B84" w:rsidRDefault="008B1B84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bCs/>
                <w:sz w:val="22"/>
              </w:rPr>
              <w:t>Consider non-opioid pharmacotherapy initially</w:t>
            </w:r>
          </w:p>
          <w:p w14:paraId="032FDAC5" w14:textId="4B00673B" w:rsidR="00B954D5" w:rsidRPr="003762B1" w:rsidRDefault="008B1B84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bCs/>
                <w:sz w:val="22"/>
              </w:rPr>
              <w:t>Consider s</w:t>
            </w:r>
            <w:r w:rsidR="0036202D">
              <w:rPr>
                <w:rFonts w:asciiTheme="majorHAnsi" w:hAnsiTheme="majorHAnsi" w:cstheme="minorHAnsi"/>
                <w:bCs/>
                <w:sz w:val="22"/>
              </w:rPr>
              <w:t>hort-</w:t>
            </w:r>
            <w:r w:rsidR="00B954D5">
              <w:rPr>
                <w:rFonts w:asciiTheme="majorHAnsi" w:hAnsiTheme="majorHAnsi" w:cstheme="minorHAnsi"/>
                <w:bCs/>
                <w:sz w:val="22"/>
              </w:rPr>
              <w:t>acting opioids such as hydrocodone or oxycodone for patients with acute, severe pain when other non-opi</w:t>
            </w:r>
            <w:r w:rsidR="0036202D">
              <w:rPr>
                <w:rFonts w:asciiTheme="majorHAnsi" w:hAnsiTheme="majorHAnsi" w:cstheme="minorHAnsi"/>
                <w:bCs/>
                <w:sz w:val="22"/>
              </w:rPr>
              <w:t>oid</w:t>
            </w:r>
            <w:r w:rsidR="00B954D5">
              <w:rPr>
                <w:rFonts w:asciiTheme="majorHAnsi" w:hAnsiTheme="majorHAnsi" w:cstheme="minorHAnsi"/>
                <w:bCs/>
                <w:sz w:val="22"/>
              </w:rPr>
              <w:t xml:space="preserve"> medication</w:t>
            </w:r>
            <w:r w:rsidR="0036202D">
              <w:rPr>
                <w:rFonts w:asciiTheme="majorHAnsi" w:hAnsiTheme="majorHAnsi" w:cstheme="minorHAnsi"/>
                <w:bCs/>
                <w:sz w:val="22"/>
              </w:rPr>
              <w:t xml:space="preserve">s, such as acetaminophen and/or </w:t>
            </w:r>
            <w:r w:rsidR="00B954D5">
              <w:rPr>
                <w:rFonts w:asciiTheme="majorHAnsi" w:hAnsiTheme="majorHAnsi" w:cstheme="minorHAnsi"/>
                <w:bCs/>
                <w:sz w:val="22"/>
              </w:rPr>
              <w:t>ibuprofen</w:t>
            </w:r>
            <w:r w:rsidR="0036202D">
              <w:rPr>
                <w:rFonts w:asciiTheme="majorHAnsi" w:hAnsiTheme="majorHAnsi" w:cstheme="minorHAnsi"/>
                <w:bCs/>
                <w:sz w:val="22"/>
              </w:rPr>
              <w:t>,</w:t>
            </w:r>
            <w:r w:rsidR="00B954D5">
              <w:rPr>
                <w:rFonts w:asciiTheme="majorHAnsi" w:hAnsiTheme="majorHAnsi" w:cstheme="minorHAnsi"/>
                <w:bCs/>
                <w:sz w:val="22"/>
              </w:rPr>
              <w:t xml:space="preserve"> are not sufficient.  </w:t>
            </w:r>
          </w:p>
          <w:p w14:paraId="74EEC8BB" w14:textId="77777777" w:rsidR="008B1B84" w:rsidRPr="008B1B84" w:rsidRDefault="008B1B84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Avoid combination medication such as Norco® or Vicodin®</w:t>
            </w:r>
          </w:p>
          <w:p w14:paraId="5DE8607A" w14:textId="46F03B30" w:rsidR="00B954D5" w:rsidRPr="00B954D5" w:rsidRDefault="008B1B84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Instead, consider o</w:t>
            </w:r>
            <w:r w:rsidR="00B954D5" w:rsidRPr="00317B0C">
              <w:rPr>
                <w:rFonts w:asciiTheme="majorHAnsi" w:hAnsiTheme="majorHAnsi" w:cstheme="minorHAnsi"/>
                <w:sz w:val="22"/>
              </w:rPr>
              <w:t>pioid monotherapy (e.g., oxycodone or immediate-release morphine)</w:t>
            </w:r>
            <w:r w:rsidR="007B6711">
              <w:rPr>
                <w:rFonts w:asciiTheme="majorHAnsi" w:hAnsiTheme="majorHAnsi" w:cstheme="minorHAnsi"/>
                <w:sz w:val="22"/>
              </w:rPr>
              <w:t>,</w:t>
            </w:r>
            <w:r w:rsidR="00B954D5" w:rsidRPr="00317B0C">
              <w:rPr>
                <w:rFonts w:asciiTheme="majorHAnsi" w:hAnsiTheme="majorHAnsi" w:cstheme="minorHAnsi"/>
                <w:sz w:val="22"/>
              </w:rPr>
              <w:t xml:space="preserve"> as monotherapy allows for the maximization of non-opioid medications such as acetaminophen or ibuprofen.  </w:t>
            </w:r>
          </w:p>
          <w:p w14:paraId="6A422440" w14:textId="3492237A" w:rsidR="008B1B84" w:rsidRPr="008B1B84" w:rsidRDefault="008B1B84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Avoid</w:t>
            </w:r>
            <w:r w:rsidR="00B954D5">
              <w:rPr>
                <w:rFonts w:asciiTheme="majorHAnsi" w:hAnsiTheme="majorHAnsi" w:cstheme="minorHAnsi"/>
                <w:sz w:val="22"/>
              </w:rPr>
              <w:t xml:space="preserve"> tramadol as</w:t>
            </w:r>
            <w:r>
              <w:rPr>
                <w:rFonts w:asciiTheme="majorHAnsi" w:hAnsiTheme="majorHAnsi" w:cstheme="minorHAnsi"/>
                <w:sz w:val="22"/>
              </w:rPr>
              <w:t xml:space="preserve"> a</w:t>
            </w:r>
            <w:r w:rsidR="00B954D5">
              <w:rPr>
                <w:rFonts w:asciiTheme="majorHAnsi" w:hAnsiTheme="majorHAnsi" w:cstheme="minorHAnsi"/>
                <w:sz w:val="22"/>
              </w:rPr>
              <w:t xml:space="preserve"> first-line opioid therapy for acute pain.  </w:t>
            </w:r>
          </w:p>
          <w:p w14:paraId="0063B1BB" w14:textId="480DC9B3" w:rsidR="00B954D5" w:rsidRPr="003762B1" w:rsidRDefault="00B954D5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 xml:space="preserve">Tramadol’s </w:t>
            </w:r>
            <w:r w:rsidR="00685408">
              <w:rPr>
                <w:rFonts w:asciiTheme="majorHAnsi" w:hAnsiTheme="majorHAnsi" w:cstheme="minorHAnsi"/>
                <w:sz w:val="22"/>
              </w:rPr>
              <w:t xml:space="preserve">analgesic effects are less than hydrocodone or oxycodone and its </w:t>
            </w:r>
            <w:r>
              <w:rPr>
                <w:rFonts w:asciiTheme="majorHAnsi" w:hAnsiTheme="majorHAnsi" w:cstheme="minorHAnsi"/>
                <w:sz w:val="22"/>
              </w:rPr>
              <w:t>onset of action requires several days of therapy for maximal effect</w:t>
            </w:r>
            <w:r w:rsidR="00685408">
              <w:rPr>
                <w:rFonts w:asciiTheme="majorHAnsi" w:hAnsiTheme="majorHAnsi" w:cstheme="minorHAnsi"/>
                <w:sz w:val="22"/>
              </w:rPr>
              <w:t xml:space="preserve">.  </w:t>
            </w:r>
          </w:p>
          <w:p w14:paraId="36CA08E8" w14:textId="2C08FFBF" w:rsidR="00B954D5" w:rsidRPr="00317B0C" w:rsidRDefault="008B1B84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bCs/>
                <w:sz w:val="22"/>
              </w:rPr>
              <w:t>Avoid l</w:t>
            </w:r>
            <w:r w:rsidR="00B954D5" w:rsidRPr="00317B0C">
              <w:rPr>
                <w:rFonts w:asciiTheme="majorHAnsi" w:hAnsiTheme="majorHAnsi" w:cstheme="minorHAnsi"/>
                <w:bCs/>
                <w:sz w:val="22"/>
              </w:rPr>
              <w:t>ong</w:t>
            </w:r>
            <w:r w:rsidR="00B954D5" w:rsidRPr="00317B0C">
              <w:rPr>
                <w:rFonts w:asciiTheme="majorHAnsi" w:eastAsia="Times New Roman" w:hAnsiTheme="majorHAnsi" w:cstheme="minorHAnsi"/>
                <w:color w:val="000000"/>
                <w:sz w:val="22"/>
              </w:rPr>
              <w:t>-</w:t>
            </w:r>
            <w:r w:rsidR="00B954D5" w:rsidRPr="00317B0C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 xml:space="preserve">acting opioid prescriptions (including XL, SR and ER </w:t>
            </w:r>
            <w:r w:rsidR="00B954D5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>formulat</w:t>
            </w:r>
            <w:r w:rsidR="00B954D5" w:rsidRPr="00317B0C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>ions, methadone</w:t>
            </w:r>
            <w:r w:rsidR="00B954D5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>,</w:t>
            </w:r>
            <w:r w:rsidR="00B954D5" w:rsidRPr="00317B0C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 xml:space="preserve"> and fentanyl patches) for patient</w:t>
            </w:r>
            <w:r w:rsidR="00B954D5" w:rsidRPr="00317B0C">
              <w:rPr>
                <w:rFonts w:asciiTheme="majorHAnsi" w:eastAsia="Times New Roman" w:hAnsiTheme="majorHAnsi" w:cstheme="minorHAnsi"/>
                <w:color w:val="000000"/>
                <w:sz w:val="22"/>
              </w:rPr>
              <w:t>s</w:t>
            </w:r>
            <w:r w:rsidR="00B954D5" w:rsidRPr="00317B0C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 xml:space="preserve"> </w:t>
            </w:r>
            <w:r w:rsidR="00B954D5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 xml:space="preserve">with acute pain.  </w:t>
            </w:r>
          </w:p>
          <w:p w14:paraId="6F54CD78" w14:textId="316B6739" w:rsidR="00B954D5" w:rsidRPr="002326A2" w:rsidRDefault="00B954D5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 xml:space="preserve">Avoid range dosing (e.g., “one-two tablets every four to six hours”).  Instead, </w:t>
            </w:r>
            <w:r>
              <w:rPr>
                <w:rFonts w:asciiTheme="majorHAnsi" w:hAnsiTheme="majorHAnsi" w:cstheme="minorHAnsi"/>
                <w:sz w:val="22"/>
              </w:rPr>
              <w:t>provide</w:t>
            </w:r>
            <w:r w:rsidRPr="00317B0C">
              <w:rPr>
                <w:rFonts w:asciiTheme="majorHAnsi" w:hAnsiTheme="majorHAnsi" w:cstheme="minorHAnsi"/>
                <w:sz w:val="22"/>
              </w:rPr>
              <w:t xml:space="preserve"> more specific dosing directions (e.g., “use 1 tablet every six hours”).</w:t>
            </w:r>
          </w:p>
          <w:p w14:paraId="49C4D1A2" w14:textId="2E5875C2" w:rsidR="007F34BD" w:rsidRPr="007F34BD" w:rsidRDefault="007F34BD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bCs/>
                <w:sz w:val="22"/>
              </w:rPr>
              <w:t xml:space="preserve">When opioids are required for pain management, buprenorphine is FDA-approved for pain and possesses a safer risk profile compared to full agonist opioids as a result of its </w:t>
            </w:r>
            <w:r>
              <w:rPr>
                <w:rFonts w:asciiTheme="majorHAnsi" w:hAnsiTheme="majorHAnsi" w:cstheme="minorHAnsi"/>
                <w:sz w:val="22"/>
              </w:rPr>
              <w:t xml:space="preserve">ceiling effect as a partial agonist at the opioid receptor. In particular, buprenorphine for pain </w:t>
            </w:r>
            <w:r w:rsidR="00EC1D52">
              <w:rPr>
                <w:rFonts w:asciiTheme="majorHAnsi" w:hAnsiTheme="majorHAnsi" w:cstheme="minorHAnsi"/>
                <w:sz w:val="22"/>
              </w:rPr>
              <w:t>may</w:t>
            </w:r>
            <w:r>
              <w:rPr>
                <w:rFonts w:asciiTheme="majorHAnsi" w:hAnsiTheme="majorHAnsi" w:cstheme="minorHAnsi"/>
                <w:sz w:val="22"/>
              </w:rPr>
              <w:t xml:space="preserve"> be considered in the following instances:</w:t>
            </w:r>
          </w:p>
          <w:p w14:paraId="779AA22C" w14:textId="5CD0C784" w:rsidR="007F34BD" w:rsidRPr="007F34BD" w:rsidRDefault="007F34BD" w:rsidP="00F97B8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Severe acute pain in patients with a history of opioid use disorder</w:t>
            </w:r>
            <w:r w:rsidR="00EC1D52">
              <w:rPr>
                <w:rFonts w:asciiTheme="majorHAnsi" w:hAnsiTheme="majorHAnsi" w:cstheme="minorHAnsi"/>
                <w:sz w:val="22"/>
              </w:rPr>
              <w:t xml:space="preserve"> (OUD)</w:t>
            </w:r>
            <w:r>
              <w:rPr>
                <w:rFonts w:asciiTheme="majorHAnsi" w:hAnsiTheme="majorHAnsi" w:cstheme="minorHAnsi"/>
                <w:sz w:val="22"/>
              </w:rPr>
              <w:t xml:space="preserve"> that requires opioids (e.g., severe trauma in patient with current or historical heroin use in emergency room)</w:t>
            </w:r>
          </w:p>
          <w:p w14:paraId="51E9D350" w14:textId="54EB7F1A" w:rsidR="002326A2" w:rsidRPr="00BE70A6" w:rsidRDefault="007F34BD" w:rsidP="00F97B8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As a safer choice for patients with long-term, high-dose opioid use</w:t>
            </w:r>
          </w:p>
          <w:p w14:paraId="76B40092" w14:textId="77777777" w:rsidR="0027531A" w:rsidRPr="00C87663" w:rsidRDefault="0027531A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C87663">
              <w:rPr>
                <w:rFonts w:asciiTheme="majorHAnsi" w:hAnsiTheme="majorHAnsi" w:cstheme="minorHAnsi"/>
                <w:bCs/>
                <w:sz w:val="22"/>
                <w:u w:val="single"/>
              </w:rPr>
              <w:t>Reassessing Risks/Benefits</w:t>
            </w:r>
          </w:p>
          <w:p w14:paraId="7286D9E5" w14:textId="77777777" w:rsidR="00037995" w:rsidRDefault="00037995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037995">
              <w:rPr>
                <w:rFonts w:asciiTheme="majorHAnsi" w:hAnsiTheme="majorHAnsi" w:cstheme="minorHAnsi"/>
                <w:bCs/>
                <w:sz w:val="22"/>
              </w:rPr>
              <w:t xml:space="preserve">Reassess risks and benefits of opioid use periodically with patient to determine if ongoing </w:t>
            </w:r>
            <w:r>
              <w:rPr>
                <w:rFonts w:asciiTheme="majorHAnsi" w:hAnsiTheme="majorHAnsi" w:cstheme="minorHAnsi"/>
                <w:bCs/>
                <w:sz w:val="22"/>
              </w:rPr>
              <w:t>opioid therapy continues to be advisable. If increases in opioid dosages are needed, update treatment plan accordingly.</w:t>
            </w:r>
          </w:p>
          <w:p w14:paraId="761E9E0E" w14:textId="77777777" w:rsidR="00BD1742" w:rsidRDefault="00BD1742" w:rsidP="00BD1742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47352F">
              <w:rPr>
                <w:rFonts w:asciiTheme="majorHAnsi" w:hAnsiTheme="majorHAnsi" w:cstheme="minorHAnsi"/>
                <w:bCs/>
                <w:sz w:val="22"/>
                <w:u w:val="single"/>
              </w:rPr>
              <w:t>Prescribing to Minors</w:t>
            </w:r>
          </w:p>
          <w:p w14:paraId="0FA27075" w14:textId="091B88F7" w:rsidR="00BD1742" w:rsidRPr="0047352F" w:rsidRDefault="00BD1742" w:rsidP="00F97B8B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47352F">
              <w:rPr>
                <w:rFonts w:asciiTheme="majorHAnsi" w:hAnsiTheme="majorHAnsi" w:cstheme="minorHAnsi"/>
                <w:bCs/>
                <w:sz w:val="22"/>
              </w:rPr>
              <w:lastRenderedPageBreak/>
              <w:t xml:space="preserve">In accordance with SB 1109, a provider is required to discuss specified information with the minor, the minor’s parent or guardian, or another adult authorized to consent to the minor’s medical treatment before the first prescription </w:t>
            </w:r>
            <w:r>
              <w:rPr>
                <w:rFonts w:asciiTheme="majorHAnsi" w:hAnsiTheme="majorHAnsi" w:cstheme="minorHAnsi"/>
                <w:bCs/>
                <w:sz w:val="22"/>
              </w:rPr>
              <w:t xml:space="preserve">for a minor </w:t>
            </w:r>
            <w:r w:rsidRPr="0047352F">
              <w:rPr>
                <w:rFonts w:asciiTheme="majorHAnsi" w:hAnsiTheme="majorHAnsi" w:cstheme="minorHAnsi"/>
                <w:bCs/>
                <w:sz w:val="22"/>
              </w:rPr>
              <w:t xml:space="preserve">in a single course of treatment </w:t>
            </w:r>
            <w:r>
              <w:rPr>
                <w:rFonts w:asciiTheme="majorHAnsi" w:hAnsiTheme="majorHAnsi" w:cstheme="minorHAnsi"/>
                <w:bCs/>
                <w:sz w:val="22"/>
              </w:rPr>
              <w:t>with</w:t>
            </w:r>
            <w:r w:rsidRPr="0047352F">
              <w:rPr>
                <w:rFonts w:asciiTheme="majorHAnsi" w:hAnsiTheme="majorHAnsi" w:cstheme="minorHAnsi"/>
                <w:bCs/>
                <w:sz w:val="22"/>
              </w:rPr>
              <w:t xml:space="preserve"> opioid medication. That information includes the following:</w:t>
            </w:r>
            <w:r w:rsidRPr="0047352F">
              <w:rPr>
                <w:rFonts w:asciiTheme="majorHAnsi" w:hAnsiTheme="majorHAnsi" w:cstheme="minorHAnsi"/>
                <w:b/>
                <w:bCs/>
                <w:sz w:val="22"/>
              </w:rPr>
              <w:t xml:space="preserve">   </w:t>
            </w:r>
          </w:p>
          <w:p w14:paraId="3508004D" w14:textId="77777777" w:rsidR="00BD1742" w:rsidRDefault="00BD1742" w:rsidP="00F97B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47352F">
              <w:rPr>
                <w:rFonts w:asciiTheme="majorHAnsi" w:hAnsiTheme="majorHAnsi" w:cstheme="minorHAnsi"/>
                <w:bCs/>
                <w:sz w:val="22"/>
              </w:rPr>
              <w:t xml:space="preserve">The risks of addiction and overdose associated with the use of opioids.  </w:t>
            </w:r>
          </w:p>
          <w:p w14:paraId="61CEADE7" w14:textId="0BEF178F" w:rsidR="00EB6318" w:rsidRPr="00EB6318" w:rsidRDefault="00BD1742" w:rsidP="00EB63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BD1742">
              <w:rPr>
                <w:rFonts w:asciiTheme="majorHAnsi" w:hAnsiTheme="majorHAnsi" w:cstheme="minorHAnsi"/>
                <w:bCs/>
                <w:sz w:val="22"/>
              </w:rPr>
              <w:t xml:space="preserve">The increased risk of addiction to an opioid to an individual who is suffering from both mental and substance abuse disorders.  </w:t>
            </w:r>
          </w:p>
          <w:p w14:paraId="5B09E9C9" w14:textId="1DD389A2" w:rsidR="00BD1742" w:rsidRPr="00BD1742" w:rsidRDefault="00BD1742" w:rsidP="00F97B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BD1742">
              <w:rPr>
                <w:rFonts w:asciiTheme="majorHAnsi" w:hAnsiTheme="majorHAnsi" w:cstheme="minorHAnsi"/>
                <w:bCs/>
                <w:sz w:val="22"/>
              </w:rPr>
              <w:t xml:space="preserve">The danger of taking an opioid with a benzodiazepine, alcohol, or another central nervous system depressant. </w:t>
            </w:r>
          </w:p>
          <w:p w14:paraId="0B5F4D8D" w14:textId="46C53E50" w:rsidR="00BD1742" w:rsidRPr="00BD1742" w:rsidRDefault="00BD1742" w:rsidP="00BD1742">
            <w:pPr>
              <w:pStyle w:val="ListParagraph"/>
              <w:spacing w:after="0" w:line="240" w:lineRule="auto"/>
              <w:ind w:left="537"/>
              <w:rPr>
                <w:rFonts w:asciiTheme="majorHAnsi" w:hAnsiTheme="majorHAnsi" w:cstheme="minorHAnsi"/>
                <w:bCs/>
                <w:sz w:val="22"/>
              </w:rPr>
            </w:pPr>
            <w:r w:rsidRPr="0047352F">
              <w:rPr>
                <w:rFonts w:asciiTheme="majorHAnsi" w:hAnsiTheme="majorHAnsi" w:cstheme="minorHAnsi"/>
                <w:bCs/>
                <w:sz w:val="22"/>
              </w:rPr>
              <w:t>Exceptions to this mandate include emergency care, emergency surgery</w:t>
            </w:r>
            <w:r>
              <w:rPr>
                <w:rFonts w:asciiTheme="majorHAnsi" w:hAnsiTheme="majorHAnsi" w:cstheme="minorHAnsi"/>
                <w:bCs/>
                <w:sz w:val="22"/>
              </w:rPr>
              <w:t>,</w:t>
            </w:r>
            <w:r w:rsidRPr="0047352F">
              <w:rPr>
                <w:rFonts w:asciiTheme="majorHAnsi" w:hAnsiTheme="majorHAnsi" w:cstheme="minorHAnsi"/>
                <w:bCs/>
                <w:sz w:val="22"/>
              </w:rPr>
              <w:t xml:space="preserve"> or if in the provider’s professional judgment, fulfilling the requirement would be detrimental to the minor’s health or safety or in violation of the minor’s legal rights regarding confidentiality. </w:t>
            </w:r>
          </w:p>
          <w:p w14:paraId="104CF271" w14:textId="77777777" w:rsidR="00460BDA" w:rsidRPr="00C87663" w:rsidRDefault="00460BDA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C87663">
              <w:rPr>
                <w:rFonts w:asciiTheme="majorHAnsi" w:hAnsiTheme="majorHAnsi" w:cstheme="minorHAnsi"/>
                <w:bCs/>
                <w:sz w:val="22"/>
                <w:u w:val="single"/>
              </w:rPr>
              <w:t>Utilization of CURES</w:t>
            </w:r>
          </w:p>
          <w:p w14:paraId="72FD9A16" w14:textId="70481A6D" w:rsidR="00460BDA" w:rsidRPr="005C5C82" w:rsidRDefault="008B144D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2"/>
              </w:rPr>
              <w:t xml:space="preserve">Consult </w:t>
            </w:r>
            <w:r w:rsidR="00460BDA" w:rsidRPr="00037995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>CURES (per SB 482) the first time a controlled substance is prescribed.  Exemptions include a non-refillable 7-day supply for Emergency Department visits or a non-refillable 5-day supply after a surgical</w:t>
            </w:r>
            <w:r w:rsidR="00460BDA" w:rsidRPr="00317B0C">
              <w:rPr>
                <w:rFonts w:asciiTheme="majorHAnsi" w:eastAsia="Times New Roman" w:hAnsiTheme="majorHAnsi" w:cstheme="minorHAnsi"/>
                <w:color w:val="000000"/>
                <w:sz w:val="22"/>
                <w:lang w:val="x-none"/>
              </w:rPr>
              <w:t xml:space="preserve"> procedure.</w:t>
            </w:r>
          </w:p>
          <w:p w14:paraId="060D3150" w14:textId="192AB1D9" w:rsidR="005C5C82" w:rsidRPr="00460BDA" w:rsidRDefault="008B144D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 xml:space="preserve">Consult </w:t>
            </w:r>
            <w:r w:rsidR="005C5C82" w:rsidRPr="002E5DFE">
              <w:rPr>
                <w:rFonts w:asciiTheme="majorHAnsi" w:hAnsiTheme="majorHAnsi" w:cstheme="minorHAnsi"/>
                <w:sz w:val="22"/>
              </w:rPr>
              <w:t>CURES (per SB 482) every 4 months if opioid medications remain part of the patient’s treatment plan</w:t>
            </w:r>
            <w:r w:rsidR="005C5C82">
              <w:rPr>
                <w:rFonts w:asciiTheme="majorHAnsi" w:hAnsiTheme="majorHAnsi" w:cstheme="minorHAnsi"/>
                <w:sz w:val="22"/>
              </w:rPr>
              <w:t>.</w:t>
            </w:r>
          </w:p>
          <w:p w14:paraId="43296C28" w14:textId="3766E48C" w:rsidR="00C87663" w:rsidRPr="00C87663" w:rsidRDefault="00C87663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C87663">
              <w:rPr>
                <w:rFonts w:asciiTheme="majorHAnsi" w:hAnsiTheme="majorHAnsi" w:cstheme="minorHAnsi"/>
                <w:bCs/>
                <w:sz w:val="22"/>
                <w:u w:val="single"/>
              </w:rPr>
              <w:t>Naloxone</w:t>
            </w:r>
          </w:p>
          <w:p w14:paraId="272706CF" w14:textId="035DE867" w:rsidR="00D4032A" w:rsidRPr="00D4032A" w:rsidRDefault="00D4032A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D4032A">
              <w:rPr>
                <w:rFonts w:asciiTheme="majorHAnsi" w:hAnsiTheme="majorHAnsi" w:cstheme="minorHAnsi"/>
                <w:sz w:val="22"/>
              </w:rPr>
              <w:t>Providers</w:t>
            </w:r>
            <w:r w:rsidR="00460BDA">
              <w:rPr>
                <w:rFonts w:asciiTheme="majorHAnsi" w:hAnsiTheme="majorHAnsi" w:cstheme="minorHAnsi"/>
                <w:sz w:val="22"/>
              </w:rPr>
              <w:t xml:space="preserve"> MUST </w:t>
            </w:r>
            <w:r w:rsidRPr="00D4032A">
              <w:rPr>
                <w:rFonts w:asciiTheme="majorHAnsi" w:hAnsiTheme="majorHAnsi" w:cstheme="minorHAnsi"/>
                <w:sz w:val="22"/>
              </w:rPr>
              <w:t>offer naloxone to any patient under the following conditions (per AB 2760):</w:t>
            </w:r>
          </w:p>
          <w:p w14:paraId="1F3D0998" w14:textId="77777777" w:rsidR="00D4032A" w:rsidRPr="00317B0C" w:rsidRDefault="00D4032A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>&gt; 90 MME/day of prescribed opioids</w:t>
            </w:r>
          </w:p>
          <w:p w14:paraId="03A5D042" w14:textId="77777777" w:rsidR="00037995" w:rsidRDefault="00D4032A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>Concurrent prescription of opioids with a benzodiazepine</w:t>
            </w:r>
          </w:p>
          <w:p w14:paraId="0B3324C2" w14:textId="4F99B467" w:rsidR="00037995" w:rsidRDefault="00D4032A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037995">
              <w:rPr>
                <w:rFonts w:asciiTheme="majorHAnsi" w:hAnsiTheme="majorHAnsi" w:cstheme="minorHAnsi"/>
                <w:sz w:val="22"/>
              </w:rPr>
              <w:t xml:space="preserve">Patient determined to be at increased risk for overdose, including those with a history of </w:t>
            </w:r>
            <w:r w:rsidR="00914E24">
              <w:rPr>
                <w:rFonts w:asciiTheme="majorHAnsi" w:hAnsiTheme="majorHAnsi" w:cstheme="minorHAnsi"/>
                <w:sz w:val="22"/>
              </w:rPr>
              <w:t xml:space="preserve">a </w:t>
            </w:r>
            <w:r w:rsidRPr="00037995">
              <w:rPr>
                <w:rFonts w:asciiTheme="majorHAnsi" w:hAnsiTheme="majorHAnsi" w:cstheme="minorHAnsi"/>
                <w:sz w:val="22"/>
              </w:rPr>
              <w:t>substance use disorder</w:t>
            </w:r>
            <w:r w:rsidR="00914E24">
              <w:rPr>
                <w:rFonts w:asciiTheme="majorHAnsi" w:hAnsiTheme="majorHAnsi" w:cstheme="minorHAnsi"/>
                <w:sz w:val="22"/>
              </w:rPr>
              <w:t xml:space="preserve"> (SUD).</w:t>
            </w:r>
          </w:p>
          <w:p w14:paraId="4415E378" w14:textId="015A9C1D" w:rsidR="00037995" w:rsidRPr="00037995" w:rsidRDefault="00701BDD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Consider o</w:t>
            </w:r>
            <w:r w:rsidR="00037995">
              <w:rPr>
                <w:rFonts w:asciiTheme="majorHAnsi" w:hAnsiTheme="majorHAnsi" w:cstheme="minorHAnsi"/>
                <w:sz w:val="22"/>
              </w:rPr>
              <w:t xml:space="preserve">ther situations when </w:t>
            </w:r>
            <w:r w:rsidR="00037995" w:rsidRPr="00D4032A">
              <w:rPr>
                <w:rFonts w:asciiTheme="majorHAnsi" w:hAnsiTheme="majorHAnsi" w:cstheme="minorHAnsi"/>
                <w:sz w:val="22"/>
              </w:rPr>
              <w:t xml:space="preserve">patients </w:t>
            </w:r>
            <w:r w:rsidR="00037995">
              <w:rPr>
                <w:rFonts w:asciiTheme="majorHAnsi" w:hAnsiTheme="majorHAnsi" w:cstheme="minorHAnsi"/>
                <w:sz w:val="22"/>
              </w:rPr>
              <w:t xml:space="preserve">on opioids </w:t>
            </w:r>
            <w:r w:rsidR="00037995" w:rsidRPr="00D4032A">
              <w:rPr>
                <w:rFonts w:asciiTheme="majorHAnsi" w:hAnsiTheme="majorHAnsi" w:cstheme="minorHAnsi"/>
                <w:sz w:val="22"/>
              </w:rPr>
              <w:t xml:space="preserve">should be </w:t>
            </w:r>
            <w:r>
              <w:rPr>
                <w:rFonts w:asciiTheme="majorHAnsi" w:hAnsiTheme="majorHAnsi" w:cstheme="minorHAnsi"/>
                <w:sz w:val="22"/>
              </w:rPr>
              <w:t>prescribed or dispensed</w:t>
            </w:r>
            <w:r w:rsidR="00037995" w:rsidRPr="00D4032A">
              <w:rPr>
                <w:rFonts w:asciiTheme="majorHAnsi" w:hAnsiTheme="majorHAnsi" w:cstheme="minorHAnsi"/>
                <w:sz w:val="22"/>
              </w:rPr>
              <w:t xml:space="preserve"> naloxone</w:t>
            </w:r>
            <w:r w:rsidR="00037995">
              <w:rPr>
                <w:rFonts w:asciiTheme="majorHAnsi" w:hAnsiTheme="majorHAnsi" w:cstheme="minorHAnsi"/>
                <w:sz w:val="22"/>
              </w:rPr>
              <w:t xml:space="preserve"> due to increased risk of overdose</w:t>
            </w:r>
            <w:r w:rsidR="00037995" w:rsidRPr="00D4032A">
              <w:rPr>
                <w:rFonts w:asciiTheme="majorHAnsi" w:hAnsiTheme="majorHAnsi" w:cstheme="minorHAnsi"/>
                <w:sz w:val="22"/>
              </w:rPr>
              <w:t xml:space="preserve">: </w:t>
            </w:r>
          </w:p>
          <w:p w14:paraId="16C446E4" w14:textId="77777777" w:rsidR="00037995" w:rsidRPr="00037995" w:rsidRDefault="00037995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 w:rsidRPr="00037995">
              <w:rPr>
                <w:rFonts w:asciiTheme="majorHAnsi" w:hAnsiTheme="majorHAnsi" w:cs="Arial"/>
                <w:sz w:val="22"/>
                <w:lang w:val="en"/>
              </w:rPr>
              <w:t xml:space="preserve">≥ </w:t>
            </w:r>
            <w:r w:rsidR="0060102A">
              <w:rPr>
                <w:rFonts w:asciiTheme="majorHAnsi" w:hAnsiTheme="majorHAnsi" w:cstheme="minorHAnsi"/>
                <w:sz w:val="22"/>
              </w:rPr>
              <w:t>50 MME/day</w:t>
            </w:r>
          </w:p>
          <w:p w14:paraId="02E05992" w14:textId="77777777" w:rsidR="00037995" w:rsidRPr="00037995" w:rsidRDefault="00037995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 w:rsidRPr="00037995">
              <w:rPr>
                <w:rFonts w:asciiTheme="majorHAnsi" w:hAnsiTheme="majorHAnsi" w:cstheme="minorHAnsi"/>
                <w:sz w:val="22"/>
              </w:rPr>
              <w:t>&gt; 64 years old</w:t>
            </w:r>
          </w:p>
          <w:p w14:paraId="73D8E71D" w14:textId="20FE6972" w:rsidR="00037995" w:rsidRPr="00BE70A6" w:rsidRDefault="00037995" w:rsidP="00F97B8B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 w:rsidRPr="00037995">
              <w:rPr>
                <w:rFonts w:asciiTheme="majorHAnsi" w:hAnsiTheme="majorHAnsi" w:cstheme="minorHAnsi"/>
                <w:sz w:val="22"/>
              </w:rPr>
              <w:t>Patient is exposed to peers with higher potential for misuse, overdose</w:t>
            </w:r>
            <w:r w:rsidR="00D6518F">
              <w:rPr>
                <w:rFonts w:asciiTheme="majorHAnsi" w:hAnsiTheme="majorHAnsi" w:cstheme="minorHAnsi"/>
                <w:sz w:val="22"/>
              </w:rPr>
              <w:t>,</w:t>
            </w:r>
            <w:r w:rsidRPr="00037995">
              <w:rPr>
                <w:rFonts w:asciiTheme="majorHAnsi" w:hAnsiTheme="majorHAnsi" w:cstheme="minorHAnsi"/>
                <w:sz w:val="22"/>
              </w:rPr>
              <w:t xml:space="preserve"> and/or illicit drug use (e.g., teens, college students)</w:t>
            </w:r>
          </w:p>
          <w:p w14:paraId="06A17A4F" w14:textId="0C23C26E" w:rsidR="00301851" w:rsidRPr="007B6711" w:rsidRDefault="00301851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822436" w:rsidRPr="007B6711">
              <w:rPr>
                <w:rFonts w:asciiTheme="majorHAnsi" w:hAnsiTheme="majorHAnsi" w:cstheme="minorHAnsi"/>
                <w:bCs/>
                <w:sz w:val="22"/>
              </w:rPr>
              <w:t>Educate patient</w:t>
            </w:r>
            <w:r w:rsidR="007B6711" w:rsidRPr="007B6711">
              <w:rPr>
                <w:rFonts w:asciiTheme="majorHAnsi" w:hAnsiTheme="majorHAnsi" w:cstheme="minorHAnsi"/>
                <w:bCs/>
                <w:sz w:val="22"/>
              </w:rPr>
              <w:t>s</w:t>
            </w:r>
            <w:r w:rsidR="00822436" w:rsidRPr="007B6711">
              <w:rPr>
                <w:rFonts w:asciiTheme="majorHAnsi" w:hAnsiTheme="majorHAnsi" w:cstheme="minorHAnsi"/>
                <w:bCs/>
                <w:sz w:val="22"/>
              </w:rPr>
              <w:t xml:space="preserve"> and family members on overdose identification and </w:t>
            </w:r>
            <w:r w:rsidR="00D6518F">
              <w:rPr>
                <w:rFonts w:asciiTheme="majorHAnsi" w:hAnsiTheme="majorHAnsi" w:cstheme="minorHAnsi"/>
                <w:bCs/>
                <w:sz w:val="22"/>
              </w:rPr>
              <w:t>how</w:t>
            </w:r>
            <w:r w:rsidR="00D6518F" w:rsidRPr="007B6711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822436" w:rsidRPr="007B6711">
              <w:rPr>
                <w:rFonts w:asciiTheme="majorHAnsi" w:hAnsiTheme="majorHAnsi" w:cstheme="minorHAnsi"/>
                <w:bCs/>
                <w:sz w:val="22"/>
              </w:rPr>
              <w:t xml:space="preserve">to use naloxone.  </w:t>
            </w:r>
          </w:p>
          <w:p w14:paraId="632742C4" w14:textId="77777777" w:rsidR="00C87663" w:rsidRPr="007B6711" w:rsidRDefault="00C87663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</w:pPr>
            <w:r w:rsidRPr="007B6711">
              <w:rPr>
                <w:rFonts w:asciiTheme="majorHAnsi" w:hAnsiTheme="majorHAnsi" w:cstheme="minorHAnsi"/>
                <w:bCs/>
                <w:color w:val="000000" w:themeColor="text1"/>
                <w:sz w:val="22"/>
                <w:u w:val="single"/>
              </w:rPr>
              <w:t>Medications for Addiction Treatment (MAT)</w:t>
            </w:r>
          </w:p>
          <w:p w14:paraId="74393417" w14:textId="365626BA" w:rsidR="00037995" w:rsidRPr="007B6711" w:rsidRDefault="002373DB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bCs/>
                <w:sz w:val="22"/>
              </w:rPr>
              <w:t xml:space="preserve">Ensure individuals with 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>an opioid use disorder</w:t>
            </w:r>
            <w:r>
              <w:rPr>
                <w:rFonts w:asciiTheme="majorHAnsi" w:hAnsiTheme="majorHAnsi" w:cstheme="minorHAnsi"/>
                <w:bCs/>
                <w:sz w:val="22"/>
              </w:rPr>
              <w:t xml:space="preserve"> (OUD), either directly in primary care/mental health settings or through a facilitated referral to an addiction specialist, are offered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8B144D" w:rsidRPr="007B6711">
              <w:rPr>
                <w:rFonts w:asciiTheme="majorHAnsi" w:hAnsiTheme="majorHAnsi" w:cstheme="minorHAnsi"/>
                <w:bCs/>
                <w:sz w:val="22"/>
              </w:rPr>
              <w:t xml:space="preserve">MAT </w:t>
            </w:r>
            <w:r w:rsidR="00037995" w:rsidRPr="007B6711">
              <w:rPr>
                <w:rFonts w:asciiTheme="majorHAnsi" w:hAnsiTheme="majorHAnsi" w:cstheme="minorHAnsi"/>
                <w:bCs/>
                <w:sz w:val="22"/>
              </w:rPr>
              <w:t>(</w:t>
            </w:r>
            <w:r w:rsidR="00037995" w:rsidRPr="007B6711">
              <w:rPr>
                <w:rFonts w:asciiTheme="majorHAnsi" w:hAnsiTheme="majorHAnsi" w:cstheme="minorHAnsi"/>
                <w:bCs/>
                <w:i/>
                <w:sz w:val="22"/>
              </w:rPr>
              <w:t>see Focus Area #5 below for additional details</w:t>
            </w:r>
            <w:r w:rsidR="00037995" w:rsidRPr="007B6711">
              <w:rPr>
                <w:rFonts w:asciiTheme="majorHAnsi" w:hAnsiTheme="majorHAnsi" w:cstheme="minorHAnsi"/>
                <w:bCs/>
                <w:sz w:val="22"/>
              </w:rPr>
              <w:t xml:space="preserve">). </w:t>
            </w:r>
          </w:p>
          <w:p w14:paraId="51903CDB" w14:textId="77777777" w:rsidR="00C87663" w:rsidRPr="007B6711" w:rsidRDefault="00C87663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7B6711">
              <w:rPr>
                <w:rFonts w:asciiTheme="majorHAnsi" w:hAnsiTheme="majorHAnsi" w:cstheme="minorHAnsi"/>
                <w:bCs/>
                <w:sz w:val="22"/>
                <w:u w:val="single"/>
              </w:rPr>
              <w:t>Treatment Agreements</w:t>
            </w:r>
          </w:p>
          <w:p w14:paraId="257B89FB" w14:textId="77777777" w:rsidR="00037995" w:rsidRPr="007B6711" w:rsidRDefault="00037995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7B6711">
              <w:rPr>
                <w:rFonts w:asciiTheme="majorHAnsi" w:hAnsiTheme="majorHAnsi" w:cstheme="minorHAnsi"/>
                <w:bCs/>
                <w:sz w:val="22"/>
              </w:rPr>
              <w:t>Although there are varying perspectives on the benefit of Treatment Agreements (aka “Pain Contracts”), th</w:t>
            </w:r>
            <w:r w:rsidR="00460BDA" w:rsidRPr="007B6711">
              <w:rPr>
                <w:rFonts w:asciiTheme="majorHAnsi" w:hAnsiTheme="majorHAnsi" w:cstheme="minorHAnsi"/>
                <w:bCs/>
                <w:sz w:val="22"/>
              </w:rPr>
              <w:t>ey can be useful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 xml:space="preserve"> to initiate and document a conversation with the patient regarding the risks of opioids</w:t>
            </w:r>
            <w:r w:rsidR="00D54972" w:rsidRPr="007B6711">
              <w:rPr>
                <w:rFonts w:asciiTheme="majorHAnsi" w:hAnsiTheme="majorHAnsi" w:cstheme="minorHAnsi"/>
                <w:bCs/>
                <w:sz w:val="22"/>
              </w:rPr>
              <w:t xml:space="preserve"> (</w:t>
            </w:r>
            <w:r w:rsidR="00D54972" w:rsidRPr="008E2235">
              <w:rPr>
                <w:rFonts w:asciiTheme="majorHAnsi" w:hAnsiTheme="majorHAnsi" w:cstheme="minorHAnsi"/>
                <w:sz w:val="22"/>
              </w:rPr>
              <w:t xml:space="preserve">links to sample Treatment Agreements can be found in the </w:t>
            </w:r>
            <w:r w:rsidR="00D54972" w:rsidRPr="007B6711">
              <w:rPr>
                <w:rFonts w:asciiTheme="majorHAnsi" w:hAnsiTheme="majorHAnsi" w:cstheme="minorHAnsi"/>
                <w:i/>
                <w:sz w:val="22"/>
              </w:rPr>
              <w:t>References/Resources below</w:t>
            </w:r>
            <w:r w:rsidR="00D54972" w:rsidRPr="007B6711">
              <w:rPr>
                <w:rFonts w:asciiTheme="majorHAnsi" w:hAnsiTheme="majorHAnsi" w:cstheme="minorHAnsi"/>
                <w:sz w:val="22"/>
              </w:rPr>
              <w:t>).</w:t>
            </w:r>
          </w:p>
          <w:p w14:paraId="0F6935A8" w14:textId="77777777" w:rsidR="00C87663" w:rsidRPr="007B6711" w:rsidRDefault="00C87663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u w:val="single"/>
              </w:rPr>
            </w:pPr>
            <w:r w:rsidRPr="007B6711">
              <w:rPr>
                <w:rFonts w:asciiTheme="majorHAnsi" w:hAnsiTheme="majorHAnsi" w:cstheme="minorHAnsi"/>
                <w:bCs/>
                <w:sz w:val="22"/>
                <w:u w:val="single"/>
              </w:rPr>
              <w:t>Urine Drug Screening</w:t>
            </w:r>
          </w:p>
          <w:p w14:paraId="5122DE75" w14:textId="5DEF3C47" w:rsidR="00B62C0E" w:rsidRPr="007B6711" w:rsidRDefault="004E4515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Recommend m</w:t>
            </w:r>
            <w:r w:rsidR="00D6518F" w:rsidRPr="007B6711">
              <w:rPr>
                <w:rFonts w:asciiTheme="majorHAnsi" w:hAnsiTheme="majorHAnsi" w:cstheme="minorHAnsi"/>
                <w:sz w:val="22"/>
              </w:rPr>
              <w:t>onitor</w:t>
            </w:r>
            <w:r>
              <w:rPr>
                <w:rFonts w:asciiTheme="majorHAnsi" w:hAnsiTheme="majorHAnsi" w:cstheme="minorHAnsi"/>
                <w:sz w:val="22"/>
              </w:rPr>
              <w:t>ing</w:t>
            </w:r>
            <w:r w:rsidR="00D6518F" w:rsidRPr="007B6711">
              <w:rPr>
                <w:rFonts w:asciiTheme="majorHAnsi" w:hAnsiTheme="majorHAnsi" w:cstheme="minorHAnsi"/>
                <w:sz w:val="22"/>
              </w:rPr>
              <w:t xml:space="preserve"> thera</w:t>
            </w:r>
            <w:r w:rsidR="00D6518F">
              <w:rPr>
                <w:rFonts w:asciiTheme="majorHAnsi" w:hAnsiTheme="majorHAnsi" w:cstheme="minorHAnsi"/>
                <w:sz w:val="22"/>
              </w:rPr>
              <w:t xml:space="preserve">peutic adherence and assess for </w:t>
            </w:r>
            <w:r w:rsidR="00D6518F" w:rsidRPr="007B6711">
              <w:rPr>
                <w:rFonts w:asciiTheme="majorHAnsi" w:hAnsiTheme="majorHAnsi" w:cstheme="minorHAnsi"/>
                <w:sz w:val="22"/>
              </w:rPr>
              <w:t>intoxicants</w:t>
            </w:r>
            <w:r w:rsidR="00D6518F">
              <w:rPr>
                <w:rFonts w:asciiTheme="majorHAnsi" w:hAnsiTheme="majorHAnsi" w:cstheme="minorHAnsi"/>
                <w:bCs/>
                <w:sz w:val="22"/>
              </w:rPr>
              <w:t xml:space="preserve"> with u</w:t>
            </w:r>
            <w:r w:rsidR="00037995" w:rsidRPr="007B6711">
              <w:rPr>
                <w:rFonts w:asciiTheme="majorHAnsi" w:hAnsiTheme="majorHAnsi" w:cstheme="minorHAnsi"/>
                <w:bCs/>
                <w:sz w:val="22"/>
              </w:rPr>
              <w:t xml:space="preserve">rine drug screening before starting opioids for chronic pain and then on </w:t>
            </w:r>
            <w:r w:rsidR="00757FCC" w:rsidRPr="007B6711">
              <w:rPr>
                <w:rFonts w:asciiTheme="majorHAnsi" w:hAnsiTheme="majorHAnsi" w:cstheme="minorHAnsi"/>
                <w:bCs/>
                <w:sz w:val="22"/>
              </w:rPr>
              <w:t>an ongoing</w:t>
            </w:r>
            <w:r w:rsidR="00037995" w:rsidRPr="007B6711">
              <w:rPr>
                <w:rFonts w:asciiTheme="majorHAnsi" w:hAnsiTheme="majorHAnsi" w:cstheme="minorHAnsi"/>
                <w:bCs/>
                <w:sz w:val="22"/>
              </w:rPr>
              <w:t xml:space="preserve"> basis</w:t>
            </w:r>
            <w:r w:rsidR="005C5C82" w:rsidRPr="007B6711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B62C0E" w:rsidRPr="007B6711">
              <w:rPr>
                <w:rFonts w:asciiTheme="majorHAnsi" w:hAnsiTheme="majorHAnsi" w:cstheme="minorHAnsi"/>
                <w:bCs/>
                <w:sz w:val="22"/>
              </w:rPr>
              <w:t>at a frequency appropriate to</w:t>
            </w:r>
            <w:r w:rsidR="00757FCC" w:rsidRPr="007B6711">
              <w:rPr>
                <w:rFonts w:asciiTheme="majorHAnsi" w:hAnsiTheme="majorHAnsi" w:cstheme="minorHAnsi"/>
                <w:bCs/>
                <w:sz w:val="22"/>
              </w:rPr>
              <w:t xml:space="preserve"> the </w:t>
            </w:r>
            <w:r w:rsidR="00B62C0E" w:rsidRPr="007B6711">
              <w:rPr>
                <w:rFonts w:asciiTheme="majorHAnsi" w:hAnsiTheme="majorHAnsi" w:cstheme="minorHAnsi"/>
                <w:bCs/>
                <w:sz w:val="22"/>
              </w:rPr>
              <w:t>patient’s risk factor</w:t>
            </w:r>
            <w:r w:rsidR="00B62C0E" w:rsidRPr="003935CC">
              <w:rPr>
                <w:rFonts w:asciiTheme="majorHAnsi" w:hAnsiTheme="majorHAnsi" w:cstheme="minorHAnsi"/>
                <w:bCs/>
                <w:sz w:val="22"/>
              </w:rPr>
              <w:t>s</w:t>
            </w:r>
            <w:r w:rsidR="00B62C0E" w:rsidRPr="003935CC">
              <w:rPr>
                <w:rFonts w:asciiTheme="majorHAnsi" w:hAnsiTheme="majorHAnsi" w:cstheme="minorHAnsi"/>
                <w:sz w:val="22"/>
              </w:rPr>
              <w:t>.</w:t>
            </w:r>
            <w:r w:rsidR="003935CC" w:rsidRPr="003935CC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EA31DD" w:rsidRPr="003935CC">
              <w:rPr>
                <w:rFonts w:asciiTheme="majorHAnsi" w:hAnsiTheme="majorHAnsi" w:cstheme="minorHAnsi"/>
                <w:sz w:val="22"/>
              </w:rPr>
              <w:t xml:space="preserve">Traditional urine </w:t>
            </w:r>
            <w:r w:rsidR="00EA31DD" w:rsidRPr="003935CC">
              <w:rPr>
                <w:rFonts w:asciiTheme="majorHAnsi" w:hAnsiTheme="majorHAnsi" w:cstheme="minorHAnsi"/>
                <w:sz w:val="22"/>
              </w:rPr>
              <w:lastRenderedPageBreak/>
              <w:t>toxicology testing does not include fentanyl and buprenorphine. If there is clinical concern for use of these substances, add this testing.</w:t>
            </w:r>
          </w:p>
          <w:p w14:paraId="69DDF2E0" w14:textId="77777777" w:rsidR="00C87663" w:rsidRPr="007B6711" w:rsidRDefault="00C87663" w:rsidP="007B6711">
            <w:pPr>
              <w:spacing w:after="0" w:line="240" w:lineRule="auto"/>
              <w:ind w:left="-16"/>
              <w:rPr>
                <w:rFonts w:asciiTheme="majorHAnsi" w:hAnsiTheme="majorHAnsi"/>
                <w:sz w:val="22"/>
                <w:u w:val="single"/>
              </w:rPr>
            </w:pPr>
            <w:r w:rsidRPr="007B6711">
              <w:rPr>
                <w:rFonts w:asciiTheme="majorHAnsi" w:hAnsiTheme="majorHAnsi"/>
                <w:sz w:val="22"/>
                <w:u w:val="single"/>
              </w:rPr>
              <w:t>Safe Drug Storage and Disposal</w:t>
            </w:r>
          </w:p>
          <w:p w14:paraId="02BB767C" w14:textId="2B8163AD" w:rsidR="00037995" w:rsidRPr="007B6711" w:rsidRDefault="00037995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7B6711">
              <w:rPr>
                <w:rFonts w:asciiTheme="majorHAnsi" w:hAnsiTheme="majorHAnsi" w:cstheme="minorHAnsi"/>
                <w:bCs/>
                <w:sz w:val="22"/>
              </w:rPr>
              <w:t>Advise patients to keep</w:t>
            </w:r>
            <w:r w:rsidR="0038230D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>all opioids and other medications in a safe, secure, and non-public location.</w:t>
            </w:r>
          </w:p>
          <w:p w14:paraId="6CBD373B" w14:textId="424DD95B" w:rsidR="00037995" w:rsidRPr="00037995" w:rsidRDefault="00037995" w:rsidP="00F97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7B6711">
              <w:rPr>
                <w:rFonts w:asciiTheme="majorHAnsi" w:hAnsiTheme="majorHAnsi" w:cstheme="minorHAnsi"/>
                <w:bCs/>
                <w:sz w:val="22"/>
              </w:rPr>
              <w:t>Urge patients</w:t>
            </w:r>
            <w:r w:rsidR="0038230D">
              <w:rPr>
                <w:rFonts w:asciiTheme="majorHAnsi" w:hAnsiTheme="majorHAnsi" w:cstheme="minorHAnsi"/>
                <w:bCs/>
                <w:sz w:val="22"/>
              </w:rPr>
              <w:t xml:space="preserve"> and family members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 xml:space="preserve"> to safely and responsibly dispose of expired, unwanted, and</w:t>
            </w:r>
            <w:r w:rsidR="00167104" w:rsidRPr="007B6711">
              <w:rPr>
                <w:rFonts w:asciiTheme="majorHAnsi" w:hAnsiTheme="majorHAnsi" w:cstheme="minorHAnsi"/>
                <w:bCs/>
                <w:sz w:val="22"/>
              </w:rPr>
              <w:t>/or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 xml:space="preserve"> unused medications, including opioids</w:t>
            </w:r>
            <w:r w:rsidR="00167104" w:rsidRPr="007B6711">
              <w:rPr>
                <w:rFonts w:asciiTheme="majorHAnsi" w:hAnsiTheme="majorHAnsi" w:cstheme="minorHAnsi"/>
                <w:bCs/>
                <w:sz w:val="22"/>
              </w:rPr>
              <w:t xml:space="preserve"> (</w:t>
            </w:r>
            <w:r w:rsidR="00167104" w:rsidRPr="008E2235">
              <w:rPr>
                <w:rFonts w:asciiTheme="majorHAnsi" w:hAnsiTheme="majorHAnsi" w:cstheme="minorHAnsi"/>
                <w:sz w:val="22"/>
              </w:rPr>
              <w:t>see the</w:t>
            </w:r>
            <w:r w:rsidR="00167104" w:rsidRPr="007B6711">
              <w:rPr>
                <w:rFonts w:asciiTheme="majorHAnsi" w:hAnsiTheme="majorHAnsi" w:cstheme="minorHAnsi"/>
                <w:i/>
                <w:sz w:val="22"/>
              </w:rPr>
              <w:t xml:space="preserve"> References/Resources </w:t>
            </w:r>
            <w:r w:rsidR="00167104" w:rsidRPr="008E2235">
              <w:rPr>
                <w:rFonts w:asciiTheme="majorHAnsi" w:hAnsiTheme="majorHAnsi" w:cstheme="minorHAnsi"/>
                <w:sz w:val="22"/>
              </w:rPr>
              <w:t xml:space="preserve">below for additional details on </w:t>
            </w:r>
            <w:r w:rsidR="00193BF5" w:rsidRPr="008E2235">
              <w:rPr>
                <w:rFonts w:asciiTheme="majorHAnsi" w:hAnsiTheme="majorHAnsi" w:cstheme="minorHAnsi"/>
                <w:sz w:val="22"/>
              </w:rPr>
              <w:t>safe drug disposal information</w:t>
            </w:r>
            <w:r w:rsidR="00167104" w:rsidRPr="007B6711">
              <w:rPr>
                <w:rFonts w:asciiTheme="majorHAnsi" w:hAnsiTheme="majorHAnsi" w:cstheme="minorHAnsi"/>
                <w:sz w:val="22"/>
              </w:rPr>
              <w:t>)</w:t>
            </w:r>
            <w:r w:rsidRPr="007B6711">
              <w:rPr>
                <w:rFonts w:asciiTheme="majorHAnsi" w:hAnsiTheme="majorHAnsi" w:cstheme="minorHAnsi"/>
                <w:bCs/>
                <w:sz w:val="22"/>
              </w:rPr>
              <w:t>.</w:t>
            </w:r>
            <w:r w:rsidR="00167104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</w:p>
        </w:tc>
      </w:tr>
    </w:tbl>
    <w:p w14:paraId="7A8F6F95" w14:textId="77777777" w:rsidR="00BD1742" w:rsidRDefault="00BD1742" w:rsidP="00CB2A25">
      <w:pPr>
        <w:spacing w:after="0" w:line="240" w:lineRule="auto"/>
        <w:rPr>
          <w:rFonts w:asciiTheme="majorHAnsi" w:hAnsiTheme="majorHAnsi"/>
          <w:b/>
          <w:szCs w:val="20"/>
        </w:rPr>
      </w:pPr>
    </w:p>
    <w:p w14:paraId="67FEAD96" w14:textId="77777777" w:rsidR="00235021" w:rsidRDefault="00235021" w:rsidP="00CB2A25">
      <w:pPr>
        <w:spacing w:after="0" w:line="240" w:lineRule="auto"/>
        <w:rPr>
          <w:rFonts w:asciiTheme="majorHAnsi" w:hAnsiTheme="majorHAnsi"/>
          <w:b/>
          <w:szCs w:val="20"/>
        </w:rPr>
      </w:pPr>
    </w:p>
    <w:p w14:paraId="275601BC" w14:textId="77777777" w:rsidR="00CB2A25" w:rsidRPr="0001755A" w:rsidRDefault="000B244E" w:rsidP="0001755A">
      <w:pPr>
        <w:spacing w:after="0" w:line="240" w:lineRule="auto"/>
        <w:rPr>
          <w:rFonts w:asciiTheme="majorHAnsi" w:hAnsiTheme="majorHAnsi"/>
          <w:b/>
          <w:sz w:val="19"/>
          <w:szCs w:val="19"/>
        </w:rPr>
      </w:pPr>
      <w:r w:rsidRPr="0001755A">
        <w:rPr>
          <w:rFonts w:asciiTheme="majorHAnsi" w:hAnsiTheme="majorHAnsi"/>
          <w:b/>
          <w:sz w:val="19"/>
          <w:szCs w:val="19"/>
        </w:rPr>
        <w:t>References/Resources</w:t>
      </w:r>
    </w:p>
    <w:p w14:paraId="44129005" w14:textId="18FAB22D" w:rsidR="00F00FE3" w:rsidRPr="0001755A" w:rsidRDefault="00F00FE3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inorHAnsi"/>
          <w:sz w:val="19"/>
          <w:szCs w:val="19"/>
        </w:rPr>
      </w:pPr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Opioid prescribing resources: BU School of Medicine SCOPE of pain, safe and competent opioid prescribing education: </w:t>
      </w:r>
      <w:hyperlink r:id="rId8" w:history="1">
        <w:r w:rsidR="00366EEF" w:rsidRPr="0001755A">
          <w:rPr>
            <w:rStyle w:val="Hyperlink"/>
            <w:rFonts w:asciiTheme="majorHAnsi" w:eastAsia="Times New Roman" w:hAnsiTheme="majorHAnsi" w:cstheme="minorHAnsi"/>
            <w:sz w:val="19"/>
            <w:szCs w:val="19"/>
          </w:rPr>
          <w:t>https://www.scopeofpain.com/</w:t>
        </w:r>
      </w:hyperlink>
      <w:r w:rsidR="00366EEF" w:rsidRPr="0001755A">
        <w:rPr>
          <w:rFonts w:asciiTheme="majorHAnsi" w:eastAsia="Times New Roman" w:hAnsiTheme="majorHAnsi" w:cstheme="minorHAnsi"/>
          <w:sz w:val="19"/>
          <w:szCs w:val="19"/>
        </w:rPr>
        <w:t xml:space="preserve"> </w:t>
      </w:r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&amp; Safe and effective opioid prescribing for chronic pain: </w:t>
      </w:r>
      <w:hyperlink r:id="rId9" w:history="1">
        <w:r w:rsidR="00366EEF" w:rsidRPr="0001755A">
          <w:rPr>
            <w:rStyle w:val="Hyperlink"/>
            <w:rFonts w:asciiTheme="majorHAnsi" w:eastAsia="Times New Roman" w:hAnsiTheme="majorHAnsi" w:cstheme="minorHAnsi"/>
            <w:sz w:val="19"/>
            <w:szCs w:val="19"/>
          </w:rPr>
          <w:t>https://www.opioidprescribing.com/</w:t>
        </w:r>
      </w:hyperlink>
    </w:p>
    <w:p w14:paraId="7F0B518F" w14:textId="530158AF" w:rsidR="00F00FE3" w:rsidRPr="0001755A" w:rsidRDefault="00F00FE3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inorHAnsi"/>
          <w:sz w:val="19"/>
          <w:szCs w:val="19"/>
        </w:rPr>
      </w:pPr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Dowell D, </w:t>
      </w:r>
      <w:proofErr w:type="spellStart"/>
      <w:r w:rsidRPr="0001755A">
        <w:rPr>
          <w:rFonts w:asciiTheme="majorHAnsi" w:eastAsia="Times New Roman" w:hAnsiTheme="majorHAnsi" w:cstheme="minorHAnsi"/>
          <w:sz w:val="19"/>
          <w:szCs w:val="19"/>
        </w:rPr>
        <w:t>Haegerich</w:t>
      </w:r>
      <w:proofErr w:type="spellEnd"/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 TM, Chou R. CDC guideline for prescribing opioids for chronic pain — United States, 2016. MMWR </w:t>
      </w:r>
      <w:proofErr w:type="spellStart"/>
      <w:r w:rsidRPr="0001755A">
        <w:rPr>
          <w:rFonts w:asciiTheme="majorHAnsi" w:eastAsia="Times New Roman" w:hAnsiTheme="majorHAnsi" w:cstheme="minorHAnsi"/>
          <w:sz w:val="19"/>
          <w:szCs w:val="19"/>
        </w:rPr>
        <w:t>Recomm</w:t>
      </w:r>
      <w:proofErr w:type="spellEnd"/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 Rep 2016;65(No. RR-1):1–49. </w:t>
      </w:r>
      <w:hyperlink r:id="rId10" w:history="1">
        <w:r w:rsidRPr="0001755A">
          <w:rPr>
            <w:rStyle w:val="Hyperlink"/>
            <w:rFonts w:asciiTheme="majorHAnsi" w:eastAsia="Times New Roman" w:hAnsiTheme="majorHAnsi" w:cstheme="minorHAnsi"/>
            <w:sz w:val="19"/>
            <w:szCs w:val="19"/>
          </w:rPr>
          <w:t>https://dx.doi.org/10.15585/mmwr.rr6501e1</w:t>
        </w:r>
      </w:hyperlink>
    </w:p>
    <w:p w14:paraId="1D1B513F" w14:textId="5B9E6179" w:rsidR="00622089" w:rsidRPr="0001755A" w:rsidRDefault="00A7666E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inorHAnsi"/>
          <w:sz w:val="19"/>
          <w:szCs w:val="19"/>
        </w:rPr>
      </w:pPr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Guy GP Jr., Zhang K, Bohm MK, et al. Vital Signs: Changes in opioid prescribing in the United States, 2006–2015. MMWR </w:t>
      </w:r>
      <w:proofErr w:type="spellStart"/>
      <w:r w:rsidRPr="0001755A">
        <w:rPr>
          <w:rFonts w:asciiTheme="majorHAnsi" w:eastAsia="Times New Roman" w:hAnsiTheme="majorHAnsi" w:cstheme="minorHAnsi"/>
          <w:sz w:val="19"/>
          <w:szCs w:val="19"/>
        </w:rPr>
        <w:t>Morb</w:t>
      </w:r>
      <w:proofErr w:type="spellEnd"/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 Mortal </w:t>
      </w:r>
      <w:proofErr w:type="spellStart"/>
      <w:r w:rsidRPr="0001755A">
        <w:rPr>
          <w:rFonts w:asciiTheme="majorHAnsi" w:eastAsia="Times New Roman" w:hAnsiTheme="majorHAnsi" w:cstheme="minorHAnsi"/>
          <w:sz w:val="19"/>
          <w:szCs w:val="19"/>
        </w:rPr>
        <w:t>Wkly</w:t>
      </w:r>
      <w:proofErr w:type="spellEnd"/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 Rep </w:t>
      </w:r>
      <w:proofErr w:type="gramStart"/>
      <w:r w:rsidRPr="0001755A">
        <w:rPr>
          <w:rFonts w:asciiTheme="majorHAnsi" w:eastAsia="Times New Roman" w:hAnsiTheme="majorHAnsi" w:cstheme="minorHAnsi"/>
          <w:sz w:val="19"/>
          <w:szCs w:val="19"/>
        </w:rPr>
        <w:t>2017;66:697</w:t>
      </w:r>
      <w:proofErr w:type="gramEnd"/>
      <w:r w:rsidRPr="0001755A">
        <w:rPr>
          <w:rFonts w:asciiTheme="majorHAnsi" w:eastAsia="Times New Roman" w:hAnsiTheme="majorHAnsi" w:cstheme="minorHAnsi"/>
          <w:sz w:val="19"/>
          <w:szCs w:val="19"/>
        </w:rPr>
        <w:t xml:space="preserve">–704. </w:t>
      </w:r>
      <w:hyperlink r:id="rId11" w:history="1">
        <w:r w:rsidR="00622089" w:rsidRPr="0001755A">
          <w:rPr>
            <w:rStyle w:val="Hyperlink"/>
            <w:rFonts w:asciiTheme="majorHAnsi" w:eastAsia="Times New Roman" w:hAnsiTheme="majorHAnsi" w:cstheme="minorHAnsi"/>
            <w:sz w:val="19"/>
            <w:szCs w:val="19"/>
          </w:rPr>
          <w:t>https://dx.doi.org/10.15585/mmwr.mm6626a4</w:t>
        </w:r>
      </w:hyperlink>
    </w:p>
    <w:p w14:paraId="328183AA" w14:textId="56DAF5C9" w:rsidR="00622089" w:rsidRPr="0001755A" w:rsidRDefault="00167104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hAnsiTheme="majorHAnsi"/>
          <w:sz w:val="19"/>
          <w:szCs w:val="19"/>
        </w:rPr>
      </w:pPr>
      <w:r w:rsidRPr="0001755A">
        <w:rPr>
          <w:rStyle w:val="Emphasis"/>
          <w:rFonts w:asciiTheme="majorHAnsi" w:hAnsiTheme="majorHAnsi" w:cstheme="minorHAnsi"/>
          <w:i w:val="0"/>
          <w:sz w:val="19"/>
          <w:szCs w:val="19"/>
          <w:lang w:val="en"/>
        </w:rPr>
        <w:t>CDC Guidelines for Opiates and Chronic Pain:</w:t>
      </w:r>
      <w:r w:rsidRPr="0001755A">
        <w:rPr>
          <w:rFonts w:asciiTheme="majorHAnsi" w:hAnsiTheme="majorHAnsi"/>
          <w:sz w:val="19"/>
          <w:szCs w:val="19"/>
        </w:rPr>
        <w:t xml:space="preserve">  </w:t>
      </w:r>
      <w:r w:rsidR="00622089" w:rsidRPr="0001755A">
        <w:rPr>
          <w:rFonts w:asciiTheme="majorHAnsi" w:hAnsiTheme="majorHAnsi"/>
          <w:sz w:val="19"/>
          <w:szCs w:val="19"/>
        </w:rPr>
        <w:t xml:space="preserve">Guidelines at-a-glance </w:t>
      </w:r>
      <w:hyperlink r:id="rId12" w:history="1">
        <w:r w:rsidR="007564B6" w:rsidRPr="0001755A">
          <w:rPr>
            <w:rStyle w:val="Hyperlink"/>
            <w:rFonts w:asciiTheme="majorHAnsi" w:hAnsiTheme="majorHAnsi"/>
            <w:sz w:val="19"/>
            <w:szCs w:val="19"/>
          </w:rPr>
          <w:t>https://www.cdc.gov/drugoverdose/pdf/guidelines_at-a-glance-a.pdf</w:t>
        </w:r>
      </w:hyperlink>
      <w:r w:rsidR="007564B6" w:rsidRPr="0001755A">
        <w:rPr>
          <w:rFonts w:asciiTheme="majorHAnsi" w:hAnsiTheme="majorHAnsi"/>
          <w:sz w:val="19"/>
          <w:szCs w:val="19"/>
        </w:rPr>
        <w:t xml:space="preserve"> </w:t>
      </w:r>
      <w:r w:rsidR="00622089" w:rsidRPr="0001755A">
        <w:rPr>
          <w:rFonts w:asciiTheme="majorHAnsi" w:hAnsiTheme="majorHAnsi"/>
          <w:sz w:val="19"/>
          <w:szCs w:val="19"/>
        </w:rPr>
        <w:t xml:space="preserve">&amp; Prescriber Fact Sheet: </w:t>
      </w:r>
      <w:hyperlink r:id="rId13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https://www.cdc.gov/drugoverdose/pdf/Guidelines_Factsheet-a.pdf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0919D675" w14:textId="4797B753" w:rsidR="00622089" w:rsidRPr="0001755A" w:rsidRDefault="00622089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sz w:val="19"/>
          <w:szCs w:val="19"/>
        </w:rPr>
        <w:t xml:space="preserve">Shah A, Hayes CJ, Martin BC. Characteristics of initial prescription episodes and likelihood of long-term opioid use — United States, 2006–2015. MMWR </w:t>
      </w:r>
      <w:proofErr w:type="spellStart"/>
      <w:r w:rsidRPr="0001755A">
        <w:rPr>
          <w:rFonts w:asciiTheme="majorHAnsi" w:hAnsiTheme="majorHAnsi"/>
          <w:sz w:val="19"/>
          <w:szCs w:val="19"/>
        </w:rPr>
        <w:t>Morb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 Mortal </w:t>
      </w:r>
      <w:proofErr w:type="spellStart"/>
      <w:r w:rsidRPr="0001755A">
        <w:rPr>
          <w:rFonts w:asciiTheme="majorHAnsi" w:hAnsiTheme="majorHAnsi"/>
          <w:sz w:val="19"/>
          <w:szCs w:val="19"/>
        </w:rPr>
        <w:t>Wkly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 Rep </w:t>
      </w:r>
      <w:proofErr w:type="gramStart"/>
      <w:r w:rsidRPr="0001755A">
        <w:rPr>
          <w:rFonts w:asciiTheme="majorHAnsi" w:hAnsiTheme="majorHAnsi"/>
          <w:sz w:val="19"/>
          <w:szCs w:val="19"/>
        </w:rPr>
        <w:t>2017;66:265</w:t>
      </w:r>
      <w:proofErr w:type="gramEnd"/>
      <w:r w:rsidRPr="0001755A">
        <w:rPr>
          <w:rFonts w:asciiTheme="majorHAnsi" w:hAnsiTheme="majorHAnsi"/>
          <w:sz w:val="19"/>
          <w:szCs w:val="19"/>
        </w:rPr>
        <w:t xml:space="preserve">–269. </w:t>
      </w:r>
      <w:hyperlink r:id="rId14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https://dx.doi.org/10.15585/mmwr.mm6610a1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7456E3B4" w14:textId="516CC90D" w:rsidR="00622089" w:rsidRPr="0001755A" w:rsidRDefault="00622089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sz w:val="19"/>
          <w:szCs w:val="19"/>
        </w:rPr>
        <w:t xml:space="preserve">Coffin PO, Behar E, Rowe C, Santos G, </w:t>
      </w:r>
      <w:proofErr w:type="spellStart"/>
      <w:r w:rsidRPr="0001755A">
        <w:rPr>
          <w:rFonts w:asciiTheme="majorHAnsi" w:hAnsiTheme="majorHAnsi"/>
          <w:sz w:val="19"/>
          <w:szCs w:val="19"/>
        </w:rPr>
        <w:t>Coffa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 D, Bald M, et al. Nonrandomized </w:t>
      </w:r>
      <w:r w:rsidR="006E76BE" w:rsidRPr="0001755A">
        <w:rPr>
          <w:rFonts w:asciiTheme="majorHAnsi" w:hAnsiTheme="majorHAnsi"/>
          <w:sz w:val="19"/>
          <w:szCs w:val="19"/>
        </w:rPr>
        <w:t>i</w:t>
      </w:r>
      <w:r w:rsidRPr="0001755A">
        <w:rPr>
          <w:rFonts w:asciiTheme="majorHAnsi" w:hAnsiTheme="majorHAnsi"/>
          <w:sz w:val="19"/>
          <w:szCs w:val="19"/>
        </w:rPr>
        <w:t xml:space="preserve">ntervention </w:t>
      </w:r>
      <w:r w:rsidR="006E76BE" w:rsidRPr="0001755A">
        <w:rPr>
          <w:rFonts w:asciiTheme="majorHAnsi" w:hAnsiTheme="majorHAnsi"/>
          <w:sz w:val="19"/>
          <w:szCs w:val="19"/>
        </w:rPr>
        <w:t>s</w:t>
      </w:r>
      <w:r w:rsidRPr="0001755A">
        <w:rPr>
          <w:rFonts w:asciiTheme="majorHAnsi" w:hAnsiTheme="majorHAnsi"/>
          <w:sz w:val="19"/>
          <w:szCs w:val="19"/>
        </w:rPr>
        <w:t xml:space="preserve">tudy of </w:t>
      </w:r>
      <w:r w:rsidR="006E76BE" w:rsidRPr="0001755A">
        <w:rPr>
          <w:rFonts w:asciiTheme="majorHAnsi" w:hAnsiTheme="majorHAnsi"/>
          <w:sz w:val="19"/>
          <w:szCs w:val="19"/>
        </w:rPr>
        <w:t>n</w:t>
      </w:r>
      <w:r w:rsidRPr="0001755A">
        <w:rPr>
          <w:rFonts w:asciiTheme="majorHAnsi" w:hAnsiTheme="majorHAnsi"/>
          <w:sz w:val="19"/>
          <w:szCs w:val="19"/>
        </w:rPr>
        <w:t xml:space="preserve">aloxone </w:t>
      </w:r>
      <w:proofErr w:type="spellStart"/>
      <w:r w:rsidR="006E76BE" w:rsidRPr="0001755A">
        <w:rPr>
          <w:rFonts w:asciiTheme="majorHAnsi" w:hAnsiTheme="majorHAnsi"/>
          <w:sz w:val="19"/>
          <w:szCs w:val="19"/>
        </w:rPr>
        <w:t>c</w:t>
      </w:r>
      <w:r w:rsidRPr="0001755A">
        <w:rPr>
          <w:rFonts w:asciiTheme="majorHAnsi" w:hAnsiTheme="majorHAnsi"/>
          <w:sz w:val="19"/>
          <w:szCs w:val="19"/>
        </w:rPr>
        <w:t>oprescription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 for </w:t>
      </w:r>
      <w:r w:rsidR="006E76BE" w:rsidRPr="0001755A">
        <w:rPr>
          <w:rFonts w:asciiTheme="majorHAnsi" w:hAnsiTheme="majorHAnsi"/>
          <w:sz w:val="19"/>
          <w:szCs w:val="19"/>
        </w:rPr>
        <w:t>p</w:t>
      </w:r>
      <w:r w:rsidRPr="0001755A">
        <w:rPr>
          <w:rFonts w:asciiTheme="majorHAnsi" w:hAnsiTheme="majorHAnsi"/>
          <w:sz w:val="19"/>
          <w:szCs w:val="19"/>
        </w:rPr>
        <w:t xml:space="preserve">rimary </w:t>
      </w:r>
      <w:r w:rsidR="006E76BE" w:rsidRPr="0001755A">
        <w:rPr>
          <w:rFonts w:asciiTheme="majorHAnsi" w:hAnsiTheme="majorHAnsi"/>
          <w:sz w:val="19"/>
          <w:szCs w:val="19"/>
        </w:rPr>
        <w:t>c</w:t>
      </w:r>
      <w:r w:rsidRPr="0001755A">
        <w:rPr>
          <w:rFonts w:asciiTheme="majorHAnsi" w:hAnsiTheme="majorHAnsi"/>
          <w:sz w:val="19"/>
          <w:szCs w:val="19"/>
        </w:rPr>
        <w:t xml:space="preserve">are </w:t>
      </w:r>
      <w:r w:rsidR="006E76BE" w:rsidRPr="0001755A">
        <w:rPr>
          <w:rFonts w:asciiTheme="majorHAnsi" w:hAnsiTheme="majorHAnsi"/>
          <w:sz w:val="19"/>
          <w:szCs w:val="19"/>
        </w:rPr>
        <w:t>p</w:t>
      </w:r>
      <w:r w:rsidRPr="0001755A">
        <w:rPr>
          <w:rFonts w:asciiTheme="majorHAnsi" w:hAnsiTheme="majorHAnsi"/>
          <w:sz w:val="19"/>
          <w:szCs w:val="19"/>
        </w:rPr>
        <w:t xml:space="preserve">atients </w:t>
      </w:r>
      <w:r w:rsidR="006E76BE" w:rsidRPr="0001755A">
        <w:rPr>
          <w:rFonts w:asciiTheme="majorHAnsi" w:hAnsiTheme="majorHAnsi"/>
          <w:sz w:val="19"/>
          <w:szCs w:val="19"/>
        </w:rPr>
        <w:t>r</w:t>
      </w:r>
      <w:r w:rsidRPr="0001755A">
        <w:rPr>
          <w:rFonts w:asciiTheme="majorHAnsi" w:hAnsiTheme="majorHAnsi"/>
          <w:sz w:val="19"/>
          <w:szCs w:val="19"/>
        </w:rPr>
        <w:t xml:space="preserve">eceiving </w:t>
      </w:r>
      <w:r w:rsidR="006E76BE" w:rsidRPr="0001755A">
        <w:rPr>
          <w:rFonts w:asciiTheme="majorHAnsi" w:hAnsiTheme="majorHAnsi"/>
          <w:sz w:val="19"/>
          <w:szCs w:val="19"/>
        </w:rPr>
        <w:t>l</w:t>
      </w:r>
      <w:r w:rsidRPr="0001755A">
        <w:rPr>
          <w:rFonts w:asciiTheme="majorHAnsi" w:hAnsiTheme="majorHAnsi"/>
          <w:sz w:val="19"/>
          <w:szCs w:val="19"/>
        </w:rPr>
        <w:t>ong-</w:t>
      </w:r>
      <w:r w:rsidR="006E76BE" w:rsidRPr="0001755A">
        <w:rPr>
          <w:rFonts w:asciiTheme="majorHAnsi" w:hAnsiTheme="majorHAnsi"/>
          <w:sz w:val="19"/>
          <w:szCs w:val="19"/>
        </w:rPr>
        <w:t>t</w:t>
      </w:r>
      <w:r w:rsidRPr="0001755A">
        <w:rPr>
          <w:rFonts w:asciiTheme="majorHAnsi" w:hAnsiTheme="majorHAnsi"/>
          <w:sz w:val="19"/>
          <w:szCs w:val="19"/>
        </w:rPr>
        <w:t xml:space="preserve">erm </w:t>
      </w:r>
      <w:r w:rsidR="006E76BE" w:rsidRPr="0001755A">
        <w:rPr>
          <w:rFonts w:asciiTheme="majorHAnsi" w:hAnsiTheme="majorHAnsi"/>
          <w:sz w:val="19"/>
          <w:szCs w:val="19"/>
        </w:rPr>
        <w:t>o</w:t>
      </w:r>
      <w:r w:rsidRPr="0001755A">
        <w:rPr>
          <w:rFonts w:asciiTheme="majorHAnsi" w:hAnsiTheme="majorHAnsi"/>
          <w:sz w:val="19"/>
          <w:szCs w:val="19"/>
        </w:rPr>
        <w:t xml:space="preserve">pioid </w:t>
      </w:r>
      <w:r w:rsidR="006E76BE" w:rsidRPr="0001755A">
        <w:rPr>
          <w:rFonts w:asciiTheme="majorHAnsi" w:hAnsiTheme="majorHAnsi"/>
          <w:sz w:val="19"/>
          <w:szCs w:val="19"/>
        </w:rPr>
        <w:t>t</w:t>
      </w:r>
      <w:r w:rsidRPr="0001755A">
        <w:rPr>
          <w:rFonts w:asciiTheme="majorHAnsi" w:hAnsiTheme="majorHAnsi"/>
          <w:sz w:val="19"/>
          <w:szCs w:val="19"/>
        </w:rPr>
        <w:t xml:space="preserve">herapy for </w:t>
      </w:r>
      <w:r w:rsidR="006E76BE" w:rsidRPr="0001755A">
        <w:rPr>
          <w:rFonts w:asciiTheme="majorHAnsi" w:hAnsiTheme="majorHAnsi"/>
          <w:sz w:val="19"/>
          <w:szCs w:val="19"/>
        </w:rPr>
        <w:t>p</w:t>
      </w:r>
      <w:r w:rsidRPr="0001755A">
        <w:rPr>
          <w:rFonts w:asciiTheme="majorHAnsi" w:hAnsiTheme="majorHAnsi"/>
          <w:sz w:val="19"/>
          <w:szCs w:val="19"/>
        </w:rPr>
        <w:t xml:space="preserve">ain. Ann Intern Med. 2016;165(4):245–252. </w:t>
      </w:r>
      <w:hyperlink r:id="rId15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https://dx.doi.org/10.7326/M15-2771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650839E1" w14:textId="5E57AB6E" w:rsidR="006E5A9D" w:rsidRPr="0001755A" w:rsidRDefault="00622089" w:rsidP="0001755A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ajorHAnsi"/>
          <w:sz w:val="19"/>
          <w:szCs w:val="19"/>
        </w:rPr>
      </w:pPr>
      <w:proofErr w:type="spellStart"/>
      <w:r w:rsidRPr="0001755A">
        <w:rPr>
          <w:rFonts w:asciiTheme="majorHAnsi" w:hAnsiTheme="majorHAnsi"/>
          <w:sz w:val="19"/>
          <w:szCs w:val="19"/>
        </w:rPr>
        <w:t>Munzing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 T. Physician guide to appropriate opioid prescribing for noncancer pain. Perm J </w:t>
      </w:r>
      <w:proofErr w:type="gramStart"/>
      <w:r w:rsidRPr="0001755A">
        <w:rPr>
          <w:rFonts w:asciiTheme="majorHAnsi" w:hAnsiTheme="majorHAnsi"/>
          <w:sz w:val="19"/>
          <w:szCs w:val="19"/>
        </w:rPr>
        <w:t>2017;21:16</w:t>
      </w:r>
      <w:proofErr w:type="gramEnd"/>
      <w:r w:rsidRPr="0001755A">
        <w:rPr>
          <w:rFonts w:asciiTheme="majorHAnsi" w:hAnsiTheme="majorHAnsi"/>
          <w:sz w:val="19"/>
          <w:szCs w:val="19"/>
        </w:rPr>
        <w:t xml:space="preserve">–169. </w:t>
      </w:r>
      <w:hyperlink r:id="rId16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https://dx.doi.org/10.7812/TPP/16-16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07A162D4" w14:textId="5569E6FD" w:rsidR="00CB2A25" w:rsidRPr="0001755A" w:rsidRDefault="00622089" w:rsidP="0001755A">
      <w:pPr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ajorHAnsi"/>
          <w:sz w:val="19"/>
          <w:szCs w:val="19"/>
        </w:rPr>
      </w:pPr>
      <w:r w:rsidRPr="0001755A">
        <w:rPr>
          <w:rFonts w:asciiTheme="majorHAnsi" w:eastAsia="Times New Roman" w:hAnsiTheme="majorHAnsi" w:cstheme="majorHAnsi"/>
          <w:sz w:val="19"/>
          <w:szCs w:val="19"/>
        </w:rPr>
        <w:t xml:space="preserve">Controlled substances: CURES database. Cal. S.B. 482 (2015-2016), Chapter 708 (Cal. Stat. 2016). </w:t>
      </w:r>
      <w:hyperlink r:id="rId17" w:history="1">
        <w:r w:rsidR="00366EEF" w:rsidRPr="0001755A">
          <w:rPr>
            <w:rStyle w:val="Hyperlink"/>
            <w:rFonts w:asciiTheme="majorHAnsi" w:eastAsia="Times New Roman" w:hAnsiTheme="majorHAnsi" w:cstheme="majorHAnsi"/>
            <w:sz w:val="19"/>
            <w:szCs w:val="19"/>
          </w:rPr>
          <w:t>https://leginfo.legislature.ca.gov/faces/billTextClient.xhtml?bill_id=201520160SB482</w:t>
        </w:r>
      </w:hyperlink>
      <w:r w:rsidR="00366EEF" w:rsidRPr="0001755A">
        <w:rPr>
          <w:rFonts w:asciiTheme="majorHAnsi" w:eastAsia="Times New Roman" w:hAnsiTheme="majorHAnsi" w:cstheme="majorHAnsi"/>
          <w:sz w:val="19"/>
          <w:szCs w:val="19"/>
        </w:rPr>
        <w:t xml:space="preserve"> </w:t>
      </w:r>
    </w:p>
    <w:p w14:paraId="55591CAE" w14:textId="5ACF6DFF" w:rsidR="00167104" w:rsidRPr="0001755A" w:rsidRDefault="00622089" w:rsidP="0001755A">
      <w:pPr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ajorHAnsi"/>
          <w:sz w:val="19"/>
          <w:szCs w:val="19"/>
        </w:rPr>
      </w:pPr>
      <w:r w:rsidRPr="0001755A">
        <w:rPr>
          <w:rFonts w:asciiTheme="majorHAnsi" w:eastAsia="Times New Roman" w:hAnsiTheme="majorHAnsi" w:cstheme="majorHAnsi"/>
          <w:sz w:val="19"/>
          <w:szCs w:val="19"/>
        </w:rPr>
        <w:t xml:space="preserve">Prescription drugs: prescribers: naloxone hydrochloride and other FDA-approved drugs. Cal. </w:t>
      </w:r>
      <w:proofErr w:type="spellStart"/>
      <w:r w:rsidRPr="0001755A">
        <w:rPr>
          <w:rFonts w:asciiTheme="majorHAnsi" w:eastAsia="Times New Roman" w:hAnsiTheme="majorHAnsi" w:cstheme="majorHAnsi"/>
          <w:sz w:val="19"/>
          <w:szCs w:val="19"/>
        </w:rPr>
        <w:t>Assemb</w:t>
      </w:r>
      <w:proofErr w:type="spellEnd"/>
      <w:r w:rsidRPr="0001755A">
        <w:rPr>
          <w:rFonts w:asciiTheme="majorHAnsi" w:eastAsia="Times New Roman" w:hAnsiTheme="majorHAnsi" w:cstheme="majorHAnsi"/>
          <w:sz w:val="19"/>
          <w:szCs w:val="19"/>
        </w:rPr>
        <w:t xml:space="preserve">. B. 2760 (2018), Chapter 324 (Cal. Stat. 2018). </w:t>
      </w:r>
      <w:hyperlink r:id="rId18" w:history="1">
        <w:r w:rsidR="00366EEF" w:rsidRPr="0001755A">
          <w:rPr>
            <w:rStyle w:val="Hyperlink"/>
            <w:rFonts w:asciiTheme="majorHAnsi" w:eastAsia="Times New Roman" w:hAnsiTheme="majorHAnsi" w:cstheme="majorHAnsi"/>
            <w:sz w:val="19"/>
            <w:szCs w:val="19"/>
          </w:rPr>
          <w:t>https://leginfo.legislature.ca.gov/faces/billTextClient.xhtml?bill_id=201720180AB2760</w:t>
        </w:r>
      </w:hyperlink>
      <w:r w:rsidR="00366EEF" w:rsidRPr="0001755A">
        <w:rPr>
          <w:rFonts w:asciiTheme="majorHAnsi" w:eastAsia="Times New Roman" w:hAnsiTheme="majorHAnsi" w:cstheme="majorHAnsi"/>
          <w:sz w:val="19"/>
          <w:szCs w:val="19"/>
        </w:rPr>
        <w:t xml:space="preserve"> </w:t>
      </w:r>
    </w:p>
    <w:p w14:paraId="5BF46688" w14:textId="62BBB3AA" w:rsidR="00622089" w:rsidRPr="0001755A" w:rsidRDefault="00622089" w:rsidP="0001755A">
      <w:pPr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ajorHAnsi"/>
          <w:sz w:val="19"/>
          <w:szCs w:val="19"/>
        </w:rPr>
      </w:pPr>
      <w:r w:rsidRPr="0001755A">
        <w:rPr>
          <w:rFonts w:asciiTheme="majorHAnsi" w:eastAsia="Times New Roman" w:hAnsiTheme="majorHAnsi" w:cstheme="majorHAnsi"/>
          <w:sz w:val="19"/>
          <w:szCs w:val="19"/>
        </w:rPr>
        <w:t>Prescribe to Prevent. Provide Naloxone, Save a Life</w:t>
      </w:r>
      <w:r w:rsidR="006E76BE" w:rsidRPr="0001755A">
        <w:rPr>
          <w:rFonts w:asciiTheme="majorHAnsi" w:eastAsia="Times New Roman" w:hAnsiTheme="majorHAnsi" w:cstheme="majorHAnsi"/>
          <w:sz w:val="19"/>
          <w:szCs w:val="19"/>
        </w:rPr>
        <w:t>-</w:t>
      </w:r>
      <w:r w:rsidRPr="0001755A">
        <w:rPr>
          <w:rFonts w:asciiTheme="majorHAnsi" w:eastAsia="Times New Roman" w:hAnsiTheme="majorHAnsi" w:cstheme="majorHAnsi"/>
          <w:sz w:val="19"/>
          <w:szCs w:val="19"/>
        </w:rPr>
        <w:t xml:space="preserve">for patients, families, prescribers, pharmacists. </w:t>
      </w:r>
      <w:hyperlink r:id="rId19" w:history="1">
        <w:r w:rsidRPr="0001755A">
          <w:rPr>
            <w:rStyle w:val="Hyperlink"/>
            <w:rFonts w:asciiTheme="majorHAnsi" w:eastAsia="Times New Roman" w:hAnsiTheme="majorHAnsi" w:cstheme="majorHAnsi"/>
            <w:sz w:val="19"/>
            <w:szCs w:val="19"/>
          </w:rPr>
          <w:t>www.prescribetoprevent.org</w:t>
        </w:r>
      </w:hyperlink>
    </w:p>
    <w:p w14:paraId="56AE2BDB" w14:textId="41F33E30" w:rsidR="00167104" w:rsidRPr="0001755A" w:rsidRDefault="00167104" w:rsidP="0001755A">
      <w:pPr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ajorHAnsi"/>
          <w:sz w:val="19"/>
          <w:szCs w:val="19"/>
        </w:rPr>
      </w:pPr>
      <w:r w:rsidRPr="0001755A">
        <w:rPr>
          <w:rFonts w:asciiTheme="majorHAnsi" w:hAnsiTheme="majorHAnsi" w:cstheme="majorHAnsi"/>
          <w:sz w:val="19"/>
          <w:szCs w:val="19"/>
        </w:rPr>
        <w:t xml:space="preserve">Safe </w:t>
      </w:r>
      <w:r w:rsidR="0050338A" w:rsidRPr="0001755A">
        <w:rPr>
          <w:rFonts w:asciiTheme="majorHAnsi" w:hAnsiTheme="majorHAnsi" w:cstheme="majorHAnsi"/>
          <w:sz w:val="19"/>
          <w:szCs w:val="19"/>
        </w:rPr>
        <w:t>Drug D</w:t>
      </w:r>
      <w:r w:rsidRPr="0001755A">
        <w:rPr>
          <w:rFonts w:asciiTheme="majorHAnsi" w:hAnsiTheme="majorHAnsi" w:cstheme="majorHAnsi"/>
          <w:sz w:val="19"/>
          <w:szCs w:val="19"/>
        </w:rPr>
        <w:t xml:space="preserve">isposal </w:t>
      </w:r>
      <w:r w:rsidR="0050338A" w:rsidRPr="0001755A">
        <w:rPr>
          <w:rFonts w:asciiTheme="majorHAnsi" w:hAnsiTheme="majorHAnsi" w:cstheme="majorHAnsi"/>
          <w:sz w:val="19"/>
          <w:szCs w:val="19"/>
        </w:rPr>
        <w:t>Informatio</w:t>
      </w:r>
      <w:r w:rsidR="00FF0F72" w:rsidRPr="0001755A">
        <w:rPr>
          <w:rFonts w:asciiTheme="majorHAnsi" w:hAnsiTheme="majorHAnsi" w:cstheme="majorHAnsi"/>
          <w:sz w:val="19"/>
          <w:szCs w:val="19"/>
        </w:rPr>
        <w:t>n, Los Angeles</w:t>
      </w:r>
      <w:r w:rsidR="00B31047" w:rsidRPr="0001755A">
        <w:rPr>
          <w:rFonts w:asciiTheme="majorHAnsi" w:hAnsiTheme="majorHAnsi" w:cstheme="majorHAnsi"/>
          <w:sz w:val="19"/>
          <w:szCs w:val="19"/>
        </w:rPr>
        <w:t xml:space="preserve"> County</w:t>
      </w:r>
      <w:r w:rsidRPr="0001755A">
        <w:rPr>
          <w:rFonts w:asciiTheme="majorHAnsi" w:hAnsiTheme="majorHAnsi" w:cstheme="majorHAnsi"/>
          <w:sz w:val="19"/>
          <w:szCs w:val="19"/>
        </w:rPr>
        <w:t xml:space="preserve">:  </w:t>
      </w:r>
    </w:p>
    <w:p w14:paraId="093DFF30" w14:textId="64BC870D" w:rsidR="00B07BDD" w:rsidRPr="0001755A" w:rsidRDefault="007A13A7" w:rsidP="0001755A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Theme="majorHAnsi" w:hAnsiTheme="majorHAnsi" w:cstheme="majorHAnsi"/>
          <w:sz w:val="19"/>
          <w:szCs w:val="19"/>
        </w:rPr>
      </w:pPr>
      <w:hyperlink r:id="rId20" w:history="1">
        <w:r w:rsidR="00B07BDD" w:rsidRPr="0001755A">
          <w:rPr>
            <w:rStyle w:val="Hyperlink"/>
            <w:rFonts w:asciiTheme="majorHAnsi" w:hAnsiTheme="majorHAnsi" w:cstheme="majorHAnsi"/>
            <w:sz w:val="19"/>
            <w:szCs w:val="19"/>
          </w:rPr>
          <w:t>https://www.google.com/maps/d/u/0/viewer?mid=1TWtqcLV6nw3Q0BsxiDcoSNUtbUp3mDvJ&amp;ll=34.00666555952027%2C-118.07444166303026&amp;z=10</w:t>
        </w:r>
      </w:hyperlink>
      <w:r w:rsidR="00B07BDD" w:rsidRPr="0001755A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72D558EE" w14:textId="77777777" w:rsidR="0050338A" w:rsidRPr="0001755A" w:rsidRDefault="007A13A7" w:rsidP="0001755A">
      <w:pPr>
        <w:pStyle w:val="ListParagraph"/>
        <w:numPr>
          <w:ilvl w:val="1"/>
          <w:numId w:val="31"/>
        </w:numPr>
        <w:spacing w:after="0" w:line="240" w:lineRule="auto"/>
        <w:ind w:left="1080"/>
        <w:rPr>
          <w:rFonts w:asciiTheme="majorHAnsi" w:hAnsiTheme="majorHAnsi" w:cstheme="majorHAnsi"/>
          <w:sz w:val="19"/>
          <w:szCs w:val="19"/>
        </w:rPr>
      </w:pPr>
      <w:hyperlink r:id="rId21" w:history="1">
        <w:r w:rsidR="0050338A" w:rsidRPr="0001755A">
          <w:rPr>
            <w:rStyle w:val="Hyperlink"/>
            <w:rFonts w:asciiTheme="majorHAnsi" w:hAnsiTheme="majorHAnsi" w:cstheme="majorHAnsi"/>
            <w:sz w:val="19"/>
            <w:szCs w:val="19"/>
          </w:rPr>
          <w:t>http://dpw.lacounty.gov/epd/HHW/Pharmaceuticals</w:t>
        </w:r>
      </w:hyperlink>
    </w:p>
    <w:p w14:paraId="7DC1A3A2" w14:textId="77777777" w:rsidR="0050338A" w:rsidRPr="0001755A" w:rsidRDefault="007A13A7" w:rsidP="0001755A">
      <w:pPr>
        <w:pStyle w:val="ListParagraph"/>
        <w:numPr>
          <w:ilvl w:val="1"/>
          <w:numId w:val="30"/>
        </w:numPr>
        <w:spacing w:after="0" w:line="240" w:lineRule="auto"/>
        <w:ind w:left="1080"/>
        <w:rPr>
          <w:rFonts w:asciiTheme="majorHAnsi" w:eastAsia="Times New Roman" w:hAnsiTheme="majorHAnsi" w:cstheme="majorHAnsi"/>
          <w:sz w:val="19"/>
          <w:szCs w:val="19"/>
        </w:rPr>
      </w:pPr>
      <w:hyperlink r:id="rId22" w:history="1">
        <w:r w:rsidR="0050338A" w:rsidRPr="0001755A">
          <w:rPr>
            <w:rStyle w:val="Hyperlink"/>
            <w:rFonts w:asciiTheme="majorHAnsi" w:eastAsia="Times New Roman" w:hAnsiTheme="majorHAnsi" w:cstheme="majorHAnsi"/>
            <w:sz w:val="19"/>
            <w:szCs w:val="19"/>
          </w:rPr>
          <w:t>https://takebackday.dea.gov/</w:t>
        </w:r>
      </w:hyperlink>
      <w:r w:rsidR="0050338A" w:rsidRPr="0001755A">
        <w:rPr>
          <w:rFonts w:asciiTheme="majorHAnsi" w:eastAsia="Times New Roman" w:hAnsiTheme="majorHAnsi" w:cstheme="majorHAnsi"/>
          <w:sz w:val="19"/>
          <w:szCs w:val="19"/>
        </w:rPr>
        <w:t xml:space="preserve"> </w:t>
      </w:r>
    </w:p>
    <w:p w14:paraId="08AF83C1" w14:textId="2BA58D28" w:rsidR="00167104" w:rsidRPr="0001755A" w:rsidRDefault="00167104" w:rsidP="0001755A">
      <w:pPr>
        <w:numPr>
          <w:ilvl w:val="0"/>
          <w:numId w:val="30"/>
        </w:numPr>
        <w:spacing w:after="0" w:line="240" w:lineRule="auto"/>
        <w:ind w:left="720"/>
        <w:rPr>
          <w:rFonts w:asciiTheme="majorHAnsi" w:eastAsia="Times New Roman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Sample </w:t>
      </w:r>
      <w:r w:rsidR="00FF0F72" w:rsidRPr="0001755A">
        <w:rPr>
          <w:rFonts w:asciiTheme="majorHAnsi" w:hAnsiTheme="majorHAnsi" w:cstheme="minorHAnsi"/>
          <w:sz w:val="19"/>
          <w:szCs w:val="19"/>
        </w:rPr>
        <w:t xml:space="preserve">Patient </w:t>
      </w:r>
      <w:r w:rsidRPr="0001755A">
        <w:rPr>
          <w:rFonts w:asciiTheme="majorHAnsi" w:hAnsiTheme="majorHAnsi" w:cstheme="minorHAnsi"/>
          <w:sz w:val="19"/>
          <w:szCs w:val="19"/>
        </w:rPr>
        <w:t xml:space="preserve">Treatment Agreements </w:t>
      </w:r>
    </w:p>
    <w:p w14:paraId="505E2701" w14:textId="55C5745B" w:rsidR="00167104" w:rsidRPr="0001755A" w:rsidRDefault="007A13A7" w:rsidP="0001755A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Theme="majorHAnsi" w:hAnsiTheme="majorHAnsi" w:cstheme="minorHAnsi"/>
          <w:sz w:val="19"/>
          <w:szCs w:val="19"/>
        </w:rPr>
      </w:pPr>
      <w:hyperlink r:id="rId23" w:history="1">
        <w:r w:rsidR="00167104"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https://www.drugabuse.gov/sites/default/files/files/SamplePatientAgreementForms.pdf</w:t>
        </w:r>
      </w:hyperlink>
    </w:p>
    <w:p w14:paraId="470B2B6D" w14:textId="77777777" w:rsidR="00CB2A25" w:rsidRPr="0001755A" w:rsidRDefault="007A13A7" w:rsidP="0001755A">
      <w:pPr>
        <w:pStyle w:val="ListParagraph"/>
        <w:numPr>
          <w:ilvl w:val="1"/>
          <w:numId w:val="32"/>
        </w:numPr>
        <w:spacing w:after="0" w:line="240" w:lineRule="auto"/>
        <w:ind w:left="1080"/>
        <w:rPr>
          <w:rFonts w:asciiTheme="majorHAnsi" w:eastAsia="Times New Roman" w:hAnsiTheme="majorHAnsi" w:cstheme="minorHAnsi"/>
          <w:sz w:val="19"/>
          <w:szCs w:val="19"/>
        </w:rPr>
      </w:pPr>
      <w:hyperlink r:id="rId24" w:history="1">
        <w:r w:rsidR="00167104"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https://www.oregonpainguidance.org/app/content/uploads/2016/05/Patient-Treatment-Agreements.pdf</w:t>
        </w:r>
      </w:hyperlink>
      <w:r w:rsidR="00167104" w:rsidRPr="0001755A">
        <w:rPr>
          <w:rFonts w:asciiTheme="majorHAnsi" w:eastAsia="Times New Roman" w:hAnsiTheme="majorHAnsi" w:cstheme="minorHAnsi"/>
          <w:sz w:val="19"/>
          <w:szCs w:val="19"/>
        </w:rPr>
        <w:t xml:space="preserve"> </w:t>
      </w:r>
    </w:p>
    <w:p w14:paraId="128DDB2D" w14:textId="77777777" w:rsidR="00DC311D" w:rsidRPr="009E574B" w:rsidRDefault="00DC311D" w:rsidP="0001755A">
      <w:pPr>
        <w:spacing w:after="0" w:line="240" w:lineRule="auto"/>
        <w:ind w:left="432"/>
        <w:rPr>
          <w:rFonts w:asciiTheme="majorHAnsi" w:hAnsiTheme="majorHAnsi"/>
          <w:szCs w:val="20"/>
        </w:rPr>
      </w:pPr>
    </w:p>
    <w:p w14:paraId="52499E39" w14:textId="3056551F" w:rsidR="00BD1742" w:rsidRPr="00235021" w:rsidRDefault="00DC311D" w:rsidP="00235021">
      <w:pPr>
        <w:spacing w:after="0" w:line="240" w:lineRule="auto"/>
        <w:rPr>
          <w:rFonts w:asciiTheme="majorHAnsi" w:hAnsiTheme="majorHAnsi"/>
          <w:szCs w:val="20"/>
        </w:rPr>
      </w:pPr>
      <w:r w:rsidRPr="009E574B"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8E7ABF" w14:textId="77777777" w:rsidR="00235021" w:rsidRDefault="00235021" w:rsidP="00235021">
      <w:pPr>
        <w:spacing w:after="0" w:line="240" w:lineRule="auto"/>
        <w:rPr>
          <w:rFonts w:asciiTheme="majorHAnsi" w:hAnsiTheme="majorHAnsi"/>
          <w:b/>
          <w:color w:val="3366FF"/>
          <w:sz w:val="24"/>
          <w:szCs w:val="24"/>
        </w:rPr>
      </w:pPr>
    </w:p>
    <w:p w14:paraId="1007FC9F" w14:textId="77777777" w:rsidR="00235021" w:rsidRDefault="00235021" w:rsidP="00DC311D">
      <w:pPr>
        <w:spacing w:after="0" w:line="240" w:lineRule="auto"/>
        <w:jc w:val="center"/>
        <w:rPr>
          <w:rFonts w:asciiTheme="majorHAnsi" w:hAnsiTheme="majorHAnsi"/>
          <w:b/>
          <w:color w:val="3366FF"/>
          <w:sz w:val="24"/>
          <w:szCs w:val="24"/>
        </w:rPr>
      </w:pPr>
    </w:p>
    <w:p w14:paraId="1D730FA5" w14:textId="77777777" w:rsidR="00235021" w:rsidRDefault="00235021" w:rsidP="00DC311D">
      <w:pPr>
        <w:spacing w:after="0" w:line="240" w:lineRule="auto"/>
        <w:jc w:val="center"/>
        <w:rPr>
          <w:rFonts w:asciiTheme="majorHAnsi" w:hAnsiTheme="majorHAnsi"/>
          <w:b/>
          <w:color w:val="3366FF"/>
          <w:sz w:val="24"/>
          <w:szCs w:val="24"/>
        </w:rPr>
      </w:pPr>
    </w:p>
    <w:p w14:paraId="69FC1345" w14:textId="77777777" w:rsidR="00235021" w:rsidRDefault="00235021" w:rsidP="00DC311D">
      <w:pPr>
        <w:spacing w:after="0" w:line="240" w:lineRule="auto"/>
        <w:jc w:val="center"/>
        <w:rPr>
          <w:rFonts w:asciiTheme="majorHAnsi" w:hAnsiTheme="majorHAnsi"/>
          <w:b/>
          <w:color w:val="3366FF"/>
          <w:sz w:val="24"/>
          <w:szCs w:val="24"/>
        </w:rPr>
      </w:pPr>
    </w:p>
    <w:p w14:paraId="067C3B0D" w14:textId="77777777" w:rsidR="00235021" w:rsidRDefault="00235021" w:rsidP="00DC311D">
      <w:pPr>
        <w:spacing w:after="0" w:line="240" w:lineRule="auto"/>
        <w:jc w:val="center"/>
        <w:rPr>
          <w:rFonts w:asciiTheme="majorHAnsi" w:hAnsiTheme="majorHAnsi"/>
          <w:b/>
          <w:color w:val="3366FF"/>
          <w:sz w:val="24"/>
          <w:szCs w:val="24"/>
        </w:rPr>
      </w:pPr>
      <w:bookmarkStart w:id="0" w:name="_GoBack"/>
      <w:bookmarkEnd w:id="0"/>
    </w:p>
    <w:p w14:paraId="08E6A43A" w14:textId="77777777" w:rsidR="00DC311D" w:rsidRPr="00DC311D" w:rsidRDefault="00DC311D" w:rsidP="00DC311D">
      <w:pPr>
        <w:spacing w:after="0" w:line="240" w:lineRule="auto"/>
        <w:jc w:val="center"/>
        <w:rPr>
          <w:rFonts w:asciiTheme="majorHAnsi" w:hAnsiTheme="majorHAnsi"/>
          <w:b/>
          <w:color w:val="3366FF"/>
          <w:sz w:val="24"/>
          <w:szCs w:val="24"/>
        </w:rPr>
      </w:pPr>
      <w:r w:rsidRPr="00DC311D">
        <w:rPr>
          <w:rFonts w:asciiTheme="majorHAnsi" w:hAnsiTheme="majorHAnsi"/>
          <w:b/>
          <w:color w:val="3366FF"/>
          <w:sz w:val="24"/>
          <w:szCs w:val="24"/>
        </w:rPr>
        <w:t>FOCUS AREA #2 – AVOID ESCALATING OPIOID DOSES</w:t>
      </w:r>
    </w:p>
    <w:p w14:paraId="13370643" w14:textId="77777777" w:rsidR="00DC311D" w:rsidRPr="004D14E4" w:rsidRDefault="00DC311D" w:rsidP="00DC311D">
      <w:pPr>
        <w:spacing w:after="0" w:line="240" w:lineRule="auto"/>
        <w:rPr>
          <w:rFonts w:asciiTheme="majorHAnsi" w:hAnsi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1880"/>
      </w:tblGrid>
      <w:tr w:rsidR="00DC311D" w14:paraId="6F5ECB70" w14:textId="77777777" w:rsidTr="00DC311D">
        <w:trPr>
          <w:trHeight w:val="260"/>
          <w:tblHeader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0F7ECDD" w14:textId="77777777" w:rsidR="00DC311D" w:rsidRPr="00317B0C" w:rsidRDefault="00DC311D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 xml:space="preserve">FOCUS AREA </w:t>
            </w:r>
          </w:p>
        </w:tc>
        <w:tc>
          <w:tcPr>
            <w:tcW w:w="12078" w:type="dxa"/>
            <w:shd w:val="clear" w:color="auto" w:fill="99CCFF"/>
            <w:vAlign w:val="center"/>
          </w:tcPr>
          <w:p w14:paraId="0246C0CB" w14:textId="77777777" w:rsidR="00DC311D" w:rsidRPr="00317B0C" w:rsidRDefault="00DC311D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RECOMMENDATIONS</w:t>
            </w:r>
          </w:p>
        </w:tc>
      </w:tr>
      <w:tr w:rsidR="00DC311D" w14:paraId="122F19D7" w14:textId="77777777" w:rsidTr="00763684">
        <w:trPr>
          <w:trHeight w:val="3608"/>
        </w:trPr>
        <w:tc>
          <w:tcPr>
            <w:tcW w:w="2538" w:type="dxa"/>
            <w:shd w:val="clear" w:color="auto" w:fill="E6E6E6"/>
            <w:vAlign w:val="center"/>
          </w:tcPr>
          <w:p w14:paraId="22AF8186" w14:textId="77777777" w:rsidR="00DC311D" w:rsidRPr="0001755A" w:rsidRDefault="00DC311D" w:rsidP="0060102A">
            <w:pPr>
              <w:spacing w:before="40"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01755A">
              <w:rPr>
                <w:rFonts w:asciiTheme="majorHAnsi" w:eastAsia="Times New Roman" w:hAnsiTheme="majorHAnsi" w:cstheme="minorHAnsi"/>
                <w:b/>
                <w:sz w:val="22"/>
              </w:rPr>
              <w:t>Avoid escalating opioid doses and placing patients at higher risk of overdose and death.</w:t>
            </w:r>
          </w:p>
        </w:tc>
        <w:tc>
          <w:tcPr>
            <w:tcW w:w="12078" w:type="dxa"/>
          </w:tcPr>
          <w:p w14:paraId="4208C992" w14:textId="00622E1F" w:rsidR="00DC311D" w:rsidRPr="00317B0C" w:rsidRDefault="00DC311D" w:rsidP="00F97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>The recommended starting dose for acute pain is less than or equal to 20 MME/day, and the maximum suggested dos</w:t>
            </w:r>
            <w:r w:rsidR="00C3493B">
              <w:rPr>
                <w:rFonts w:asciiTheme="majorHAnsi" w:eastAsia="Times New Roman" w:hAnsiTheme="majorHAnsi" w:cstheme="minorHAnsi"/>
                <w:bCs/>
                <w:sz w:val="22"/>
              </w:rPr>
              <w:t>ag</w:t>
            </w:r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e of opioids is up to 49 MME/day in opioid-naïve </w:t>
            </w:r>
            <w:proofErr w:type="gramStart"/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>patients</w:t>
            </w:r>
            <w:r w:rsidR="00267787">
              <w:rPr>
                <w:rFonts w:asciiTheme="majorHAnsi" w:eastAsia="Times New Roman" w:hAnsiTheme="majorHAnsi" w:cstheme="minorHAnsi"/>
                <w:bCs/>
                <w:sz w:val="22"/>
              </w:rPr>
              <w:t>.</w:t>
            </w:r>
            <w:r w:rsidR="00041ECE">
              <w:rPr>
                <w:rFonts w:asciiTheme="majorHAnsi" w:eastAsia="Times New Roman" w:hAnsiTheme="majorHAnsi" w:cstheme="minorHAnsi"/>
                <w:bCs/>
                <w:sz w:val="22"/>
              </w:rPr>
              <w:t>*</w:t>
            </w:r>
            <w:proofErr w:type="gramEnd"/>
            <w:r w:rsidRPr="00317B0C">
              <w:rPr>
                <w:rFonts w:asciiTheme="majorHAnsi" w:eastAsia="Times New Roman" w:hAnsiTheme="majorHAnsi" w:cstheme="minorHAnsi"/>
                <w:bCs/>
                <w:sz w:val="22"/>
              </w:rPr>
              <w:t xml:space="preserve"> </w:t>
            </w:r>
            <w:r w:rsidRPr="00317B0C">
              <w:rPr>
                <w:rFonts w:asciiTheme="majorHAnsi" w:hAnsiTheme="majorHAnsi" w:cstheme="minorHAnsi"/>
                <w:sz w:val="22"/>
              </w:rPr>
              <w:t xml:space="preserve">Avoid increasing the dose of opioids to 50 MME/day or higher. </w:t>
            </w:r>
            <w:r w:rsidR="00D844C1" w:rsidRPr="00D844C1">
              <w:rPr>
                <w:rFonts w:asciiTheme="majorHAnsi" w:hAnsiTheme="majorHAnsi"/>
                <w:sz w:val="22"/>
              </w:rPr>
              <w:t>If patients are already on doses 50 MME/day or higher, these recommendations should not be interpreted to require involuntary</w:t>
            </w:r>
            <w:r w:rsidR="00BD669B">
              <w:rPr>
                <w:rFonts w:asciiTheme="majorHAnsi" w:hAnsiTheme="majorHAnsi"/>
                <w:sz w:val="22"/>
              </w:rPr>
              <w:t xml:space="preserve"> and/or rapid</w:t>
            </w:r>
            <w:r w:rsidR="00D844C1" w:rsidRPr="00D844C1">
              <w:rPr>
                <w:rFonts w:asciiTheme="majorHAnsi" w:hAnsiTheme="majorHAnsi"/>
                <w:sz w:val="22"/>
              </w:rPr>
              <w:t xml:space="preserve"> tapers</w:t>
            </w:r>
            <w:r w:rsidR="00D844C1" w:rsidRPr="00BD669B">
              <w:rPr>
                <w:rFonts w:asciiTheme="majorHAnsi" w:hAnsiTheme="majorHAnsi"/>
                <w:sz w:val="22"/>
              </w:rPr>
              <w:t xml:space="preserve">, </w:t>
            </w:r>
            <w:r w:rsidR="00BD669B" w:rsidRPr="00BD669B">
              <w:rPr>
                <w:rFonts w:asciiTheme="majorHAnsi" w:hAnsiTheme="majorHAnsi"/>
                <w:sz w:val="22"/>
              </w:rPr>
              <w:t xml:space="preserve">which can be more harmful than they are beneficial by putting patients at risk for </w:t>
            </w:r>
            <w:r w:rsidR="00BD669B">
              <w:rPr>
                <w:rFonts w:asciiTheme="majorHAnsi" w:hAnsiTheme="majorHAnsi"/>
                <w:sz w:val="22"/>
              </w:rPr>
              <w:t xml:space="preserve">poor outcomes such as </w:t>
            </w:r>
            <w:r w:rsidR="00BD669B" w:rsidRPr="00BD669B">
              <w:rPr>
                <w:rFonts w:asciiTheme="majorHAnsi" w:hAnsiTheme="majorHAnsi"/>
                <w:sz w:val="22"/>
              </w:rPr>
              <w:t xml:space="preserve">medical and/or psychiatric decompensation, relapse or illicit drug use, </w:t>
            </w:r>
            <w:r w:rsidR="00D77AD3">
              <w:rPr>
                <w:rFonts w:asciiTheme="majorHAnsi" w:hAnsiTheme="majorHAnsi"/>
                <w:sz w:val="22"/>
              </w:rPr>
              <w:t>overdose, and</w:t>
            </w:r>
            <w:r w:rsidR="00D77AD3" w:rsidRPr="00BD669B">
              <w:rPr>
                <w:rFonts w:asciiTheme="majorHAnsi" w:hAnsiTheme="majorHAnsi"/>
                <w:sz w:val="22"/>
              </w:rPr>
              <w:t xml:space="preserve"> </w:t>
            </w:r>
            <w:r w:rsidR="00BD669B" w:rsidRPr="00BD669B">
              <w:rPr>
                <w:rFonts w:asciiTheme="majorHAnsi" w:hAnsiTheme="majorHAnsi"/>
                <w:sz w:val="22"/>
              </w:rPr>
              <w:t>self-harm. Tapering decisions must be made based on the individual circumstances of each case, with careful consideration of the risks and benefits.</w:t>
            </w:r>
          </w:p>
          <w:p w14:paraId="768CE2DA" w14:textId="44E75F44" w:rsidR="00527750" w:rsidRPr="00527750" w:rsidRDefault="00DC311D" w:rsidP="00F97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 xml:space="preserve">Consider using alternative </w:t>
            </w:r>
            <w:r w:rsidR="00460BDA" w:rsidRPr="00317B0C">
              <w:rPr>
                <w:rFonts w:asciiTheme="majorHAnsi" w:eastAsia="Times New Roman" w:hAnsiTheme="majorHAnsi" w:cstheme="minorHAnsi"/>
                <w:bCs/>
                <w:sz w:val="22"/>
              </w:rPr>
              <w:t>non-pharmacologic and non-opi</w:t>
            </w:r>
            <w:r w:rsidR="005C5C82">
              <w:rPr>
                <w:rFonts w:asciiTheme="majorHAnsi" w:eastAsia="Times New Roman" w:hAnsiTheme="majorHAnsi" w:cstheme="minorHAnsi"/>
                <w:bCs/>
                <w:sz w:val="22"/>
              </w:rPr>
              <w:t>oid therapies</w:t>
            </w:r>
            <w:r w:rsidR="005C5C82"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317B0C">
              <w:rPr>
                <w:rFonts w:asciiTheme="majorHAnsi" w:hAnsiTheme="majorHAnsi" w:cstheme="minorHAnsi"/>
                <w:sz w:val="22"/>
              </w:rPr>
              <w:t xml:space="preserve">to prevent escalation </w:t>
            </w:r>
            <w:r w:rsidR="0038230D">
              <w:rPr>
                <w:rFonts w:asciiTheme="majorHAnsi" w:hAnsiTheme="majorHAnsi" w:cstheme="minorHAnsi"/>
                <w:sz w:val="22"/>
              </w:rPr>
              <w:t>of</w:t>
            </w:r>
            <w:r w:rsidR="0038230D" w:rsidRPr="00317B0C"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317B0C">
              <w:rPr>
                <w:rFonts w:asciiTheme="majorHAnsi" w:hAnsiTheme="majorHAnsi" w:cstheme="minorHAnsi"/>
                <w:sz w:val="22"/>
              </w:rPr>
              <w:t>opioid doses.</w:t>
            </w:r>
          </w:p>
          <w:p w14:paraId="6629C259" w14:textId="374A83AD" w:rsidR="00DC311D" w:rsidRPr="007B6711" w:rsidRDefault="00527750" w:rsidP="007B6711">
            <w:pPr>
              <w:pStyle w:val="ListParagraph"/>
              <w:spacing w:after="0" w:line="240" w:lineRule="auto"/>
              <w:ind w:left="450"/>
              <w:rPr>
                <w:rFonts w:asciiTheme="majorHAnsi" w:hAnsiTheme="majorHAnsi" w:cstheme="minorHAnsi"/>
                <w:b/>
                <w:sz w:val="22"/>
              </w:rPr>
            </w:pPr>
            <w:r w:rsidRPr="007B6711">
              <w:rPr>
                <w:rFonts w:asciiTheme="majorHAnsi" w:hAnsiTheme="majorHAnsi" w:cstheme="minorHAnsi"/>
                <w:b/>
                <w:sz w:val="22"/>
              </w:rPr>
              <w:t>There is no evidence to support the use of ever-increasing doses of opioids for non-cancer pain</w:t>
            </w:r>
            <w:r w:rsidR="004E4515">
              <w:rPr>
                <w:rFonts w:asciiTheme="majorHAnsi" w:hAnsiTheme="majorHAnsi" w:cstheme="minorHAnsi"/>
                <w:b/>
                <w:sz w:val="22"/>
              </w:rPr>
              <w:t xml:space="preserve"> and t</w:t>
            </w:r>
            <w:r w:rsidRPr="007B6711">
              <w:rPr>
                <w:rFonts w:asciiTheme="majorHAnsi" w:hAnsiTheme="majorHAnsi" w:cstheme="minorHAnsi"/>
                <w:b/>
                <w:sz w:val="22"/>
              </w:rPr>
              <w:t xml:space="preserve">here is </w:t>
            </w:r>
            <w:r w:rsidR="00531B8F" w:rsidRPr="007B6711">
              <w:rPr>
                <w:rFonts w:asciiTheme="majorHAnsi" w:hAnsiTheme="majorHAnsi" w:cstheme="minorHAnsi"/>
                <w:b/>
                <w:sz w:val="22"/>
              </w:rPr>
              <w:t>clear evidence that this can lead</w:t>
            </w:r>
            <w:r w:rsidRPr="007B6711">
              <w:rPr>
                <w:rFonts w:asciiTheme="majorHAnsi" w:hAnsiTheme="majorHAnsi" w:cstheme="minorHAnsi"/>
                <w:b/>
                <w:sz w:val="22"/>
              </w:rPr>
              <w:t xml:space="preserve"> to harm</w:t>
            </w:r>
            <w:r w:rsidR="00531B8F" w:rsidRPr="007B6711">
              <w:rPr>
                <w:rFonts w:asciiTheme="majorHAnsi" w:hAnsiTheme="majorHAnsi" w:cstheme="minorHAnsi"/>
                <w:b/>
                <w:sz w:val="22"/>
              </w:rPr>
              <w:t>.</w:t>
            </w:r>
          </w:p>
          <w:p w14:paraId="0286DF77" w14:textId="2B6F0EF3" w:rsidR="00527750" w:rsidRPr="00BE70A6" w:rsidRDefault="00B9660B" w:rsidP="00F97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</w:t>
            </w:r>
            <w:r w:rsidR="00527750">
              <w:rPr>
                <w:rFonts w:asciiTheme="majorHAnsi" w:hAnsiTheme="majorHAnsi"/>
                <w:sz w:val="22"/>
              </w:rPr>
              <w:t xml:space="preserve">linical </w:t>
            </w:r>
            <w:r w:rsidR="004E4515">
              <w:rPr>
                <w:rFonts w:asciiTheme="majorHAnsi" w:hAnsiTheme="majorHAnsi"/>
                <w:sz w:val="22"/>
              </w:rPr>
              <w:t>judgment</w:t>
            </w:r>
            <w:r w:rsidR="00527750">
              <w:rPr>
                <w:rFonts w:asciiTheme="majorHAnsi" w:hAnsiTheme="majorHAnsi"/>
                <w:sz w:val="22"/>
              </w:rPr>
              <w:t xml:space="preserve"> should </w:t>
            </w:r>
            <w:r>
              <w:rPr>
                <w:rFonts w:asciiTheme="majorHAnsi" w:hAnsiTheme="majorHAnsi"/>
                <w:sz w:val="22"/>
              </w:rPr>
              <w:t>govern</w:t>
            </w:r>
            <w:r w:rsidR="00527750">
              <w:rPr>
                <w:rFonts w:asciiTheme="majorHAnsi" w:hAnsiTheme="majorHAnsi" w:cstheme="minorHAnsi"/>
                <w:bCs/>
                <w:sz w:val="22"/>
              </w:rPr>
              <w:t xml:space="preserve"> specific patient conditions or situations</w:t>
            </w:r>
            <w:r w:rsidR="00527750">
              <w:rPr>
                <w:rFonts w:asciiTheme="majorHAnsi" w:hAnsiTheme="majorHAnsi"/>
                <w:sz w:val="22"/>
              </w:rPr>
              <w:t xml:space="preserve">. </w:t>
            </w:r>
            <w:r w:rsidR="00527750" w:rsidRPr="00834F23">
              <w:rPr>
                <w:rFonts w:asciiTheme="majorHAnsi" w:hAnsiTheme="majorHAnsi"/>
                <w:sz w:val="22"/>
              </w:rPr>
              <w:t>E</w:t>
            </w:r>
            <w:r w:rsidR="00527750" w:rsidRPr="003762B1">
              <w:rPr>
                <w:rFonts w:asciiTheme="majorHAnsi" w:hAnsiTheme="majorHAnsi"/>
                <w:sz w:val="22"/>
              </w:rPr>
              <w:t xml:space="preserve">xceptions should require </w:t>
            </w:r>
            <w:r>
              <w:rPr>
                <w:rFonts w:asciiTheme="majorHAnsi" w:hAnsiTheme="majorHAnsi"/>
                <w:sz w:val="22"/>
              </w:rPr>
              <w:t>additional</w:t>
            </w:r>
            <w:r w:rsidRPr="003762B1">
              <w:rPr>
                <w:rFonts w:asciiTheme="majorHAnsi" w:hAnsiTheme="majorHAnsi"/>
                <w:sz w:val="22"/>
              </w:rPr>
              <w:t xml:space="preserve"> </w:t>
            </w:r>
            <w:r w:rsidR="00527750" w:rsidRPr="003762B1">
              <w:rPr>
                <w:rFonts w:asciiTheme="majorHAnsi" w:hAnsiTheme="majorHAnsi"/>
                <w:sz w:val="22"/>
              </w:rPr>
              <w:t xml:space="preserve">patient assessment to justify </w:t>
            </w:r>
            <w:r w:rsidR="00527750">
              <w:rPr>
                <w:rFonts w:asciiTheme="majorHAnsi" w:hAnsiTheme="majorHAnsi"/>
                <w:sz w:val="22"/>
              </w:rPr>
              <w:t xml:space="preserve">that the </w:t>
            </w:r>
            <w:r w:rsidR="00527750" w:rsidRPr="003762B1">
              <w:rPr>
                <w:rFonts w:asciiTheme="majorHAnsi" w:hAnsiTheme="majorHAnsi"/>
                <w:sz w:val="22"/>
              </w:rPr>
              <w:t>benefit</w:t>
            </w:r>
            <w:r w:rsidR="00527750">
              <w:rPr>
                <w:rFonts w:asciiTheme="majorHAnsi" w:hAnsiTheme="majorHAnsi"/>
                <w:sz w:val="22"/>
              </w:rPr>
              <w:t>s</w:t>
            </w:r>
            <w:r w:rsidR="00527750" w:rsidRPr="003762B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outweigh</w:t>
            </w:r>
            <w:r w:rsidRPr="003762B1">
              <w:rPr>
                <w:rFonts w:asciiTheme="majorHAnsi" w:hAnsiTheme="majorHAnsi"/>
                <w:sz w:val="22"/>
              </w:rPr>
              <w:t xml:space="preserve"> </w:t>
            </w:r>
            <w:r w:rsidR="00F35487">
              <w:rPr>
                <w:rFonts w:asciiTheme="majorHAnsi" w:hAnsiTheme="majorHAnsi"/>
                <w:sz w:val="22"/>
              </w:rPr>
              <w:t xml:space="preserve">the </w:t>
            </w:r>
            <w:r w:rsidR="00527750" w:rsidRPr="003762B1">
              <w:rPr>
                <w:rFonts w:asciiTheme="majorHAnsi" w:hAnsiTheme="majorHAnsi"/>
                <w:sz w:val="22"/>
              </w:rPr>
              <w:t>risk</w:t>
            </w:r>
            <w:r w:rsidR="00527750">
              <w:rPr>
                <w:rFonts w:asciiTheme="majorHAnsi" w:hAnsiTheme="majorHAnsi"/>
                <w:sz w:val="22"/>
              </w:rPr>
              <w:t>s.</w:t>
            </w:r>
          </w:p>
          <w:p w14:paraId="7C430C47" w14:textId="54B3ECC9" w:rsidR="00041ECE" w:rsidRPr="007B6711" w:rsidRDefault="00531B8F" w:rsidP="00F97B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When </w:t>
            </w:r>
            <w:r w:rsidR="004E4515">
              <w:rPr>
                <w:rFonts w:asciiTheme="majorHAnsi" w:hAnsiTheme="majorHAnsi"/>
                <w:sz w:val="22"/>
              </w:rPr>
              <w:t xml:space="preserve">necessary and </w:t>
            </w:r>
            <w:r>
              <w:rPr>
                <w:rFonts w:asciiTheme="majorHAnsi" w:hAnsiTheme="majorHAnsi"/>
                <w:sz w:val="22"/>
              </w:rPr>
              <w:t xml:space="preserve">possible, </w:t>
            </w:r>
            <w:r w:rsidR="00B9660B">
              <w:rPr>
                <w:rFonts w:asciiTheme="majorHAnsi" w:hAnsiTheme="majorHAnsi"/>
                <w:sz w:val="22"/>
              </w:rPr>
              <w:t xml:space="preserve">consider </w:t>
            </w:r>
            <w:r>
              <w:rPr>
                <w:rFonts w:asciiTheme="majorHAnsi" w:hAnsiTheme="majorHAnsi"/>
                <w:sz w:val="22"/>
              </w:rPr>
              <w:t xml:space="preserve">consultation with a pain or palliative specialist. </w:t>
            </w:r>
          </w:p>
          <w:p w14:paraId="08379C9F" w14:textId="77777777" w:rsidR="007B6711" w:rsidRPr="007B6711" w:rsidRDefault="007B6711" w:rsidP="007B6711">
            <w:pPr>
              <w:pStyle w:val="ListParagraph"/>
              <w:spacing w:after="0" w:line="240" w:lineRule="auto"/>
              <w:ind w:left="450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14:paraId="7A7E5FBE" w14:textId="6FB6EE4B" w:rsidR="00041ECE" w:rsidRPr="007B6711" w:rsidRDefault="00041ECE" w:rsidP="007B6711">
            <w:pPr>
              <w:spacing w:after="0" w:line="240" w:lineRule="auto"/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</w:pPr>
            <w:r w:rsidRPr="007B6711">
              <w:rPr>
                <w:rFonts w:asciiTheme="majorHAnsi" w:hAnsiTheme="majorHAnsi"/>
                <w:sz w:val="22"/>
              </w:rPr>
              <w:t>*</w:t>
            </w:r>
            <w:r w:rsidRPr="007B6711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 xml:space="preserve"> Opioid-naïve versus opioid-tolerant</w:t>
            </w:r>
          </w:p>
          <w:p w14:paraId="2437F7EE" w14:textId="5A0654C1" w:rsidR="00DB2D20" w:rsidRPr="00A63FE8" w:rsidRDefault="00041ECE" w:rsidP="00A63FE8">
            <w:pPr>
              <w:spacing w:after="0" w:line="240" w:lineRule="auto"/>
              <w:ind w:left="432"/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</w:pPr>
            <w:r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 xml:space="preserve">Opioid-naïve patients are often defined as patients who have not used any form of opioids (legal or illegal) in the previous 6 months.  Opioid-tolerant patients have previous recent use of opioids (legal or illegal) that may result in </w:t>
            </w:r>
            <w:r w:rsidR="00B9660B"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 xml:space="preserve">requiring </w:t>
            </w:r>
            <w:r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>higher dos</w:t>
            </w:r>
            <w:r w:rsidR="00B9660B"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>es</w:t>
            </w:r>
            <w:r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 xml:space="preserve"> of opioids to achieve </w:t>
            </w:r>
            <w:r w:rsidR="00B9660B"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>similar</w:t>
            </w:r>
            <w:r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 xml:space="preserve"> pain</w:t>
            </w:r>
            <w:r w:rsidR="00B9660B"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>-</w:t>
            </w:r>
            <w:r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>relieving results</w:t>
            </w:r>
            <w:r w:rsidR="00B9660B"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>.</w:t>
            </w:r>
            <w:r w:rsidRPr="00A63FE8">
              <w:rPr>
                <w:rFonts w:asciiTheme="majorHAnsi" w:hAnsiTheme="majorHAnsi" w:cstheme="minorHAnsi"/>
                <w:bCs/>
                <w:color w:val="000000" w:themeColor="text1"/>
                <w:sz w:val="22"/>
              </w:rPr>
              <w:t xml:space="preserve">  </w:t>
            </w:r>
            <w:r w:rsidR="00531B8F" w:rsidRPr="00A63FE8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14:paraId="33FEFF4F" w14:textId="77777777" w:rsidR="00DC311D" w:rsidRDefault="00DC311D" w:rsidP="00DC311D">
      <w:pPr>
        <w:spacing w:after="0" w:line="240" w:lineRule="auto"/>
        <w:rPr>
          <w:rFonts w:asciiTheme="majorHAnsi" w:hAnsiTheme="majorHAnsi"/>
          <w:szCs w:val="20"/>
        </w:rPr>
      </w:pPr>
    </w:p>
    <w:p w14:paraId="58954800" w14:textId="77777777" w:rsidR="004D14E4" w:rsidRPr="0001755A" w:rsidRDefault="00DC311D" w:rsidP="0001755A">
      <w:p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b/>
          <w:sz w:val="19"/>
          <w:szCs w:val="19"/>
        </w:rPr>
        <w:t>References/Resources</w:t>
      </w:r>
    </w:p>
    <w:p w14:paraId="16DFCF93" w14:textId="496D9B9A" w:rsidR="00FF0F72" w:rsidRPr="0001755A" w:rsidRDefault="00FF0F72" w:rsidP="0001755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color w:val="000000"/>
          <w:sz w:val="19"/>
          <w:szCs w:val="19"/>
          <w:shd w:val="clear" w:color="auto" w:fill="FFFFFF"/>
        </w:rPr>
      </w:pPr>
      <w:r w:rsidRPr="0001755A">
        <w:rPr>
          <w:rFonts w:asciiTheme="majorHAnsi" w:hAnsiTheme="majorHAnsi"/>
          <w:sz w:val="19"/>
          <w:szCs w:val="19"/>
        </w:rPr>
        <w:t xml:space="preserve">Garg RK, Fulton-Kehoe D, Franklin GM. Patterns of opioid use and risk of opioid overdose death among Medicaid patients. </w:t>
      </w:r>
      <w:r w:rsidRPr="0001755A">
        <w:rPr>
          <w:rFonts w:asciiTheme="majorHAnsi" w:eastAsia="Times New Roman" w:hAnsiTheme="majorHAnsi" w:cs="Arial"/>
          <w:color w:val="000000"/>
          <w:sz w:val="19"/>
          <w:szCs w:val="19"/>
        </w:rPr>
        <w:t>Med Care</w:t>
      </w:r>
      <w:r w:rsidRPr="0001755A">
        <w:rPr>
          <w:rFonts w:asciiTheme="majorHAnsi" w:eastAsia="Times New Roman" w:hAnsiTheme="majorHAnsi" w:cs="Arial"/>
          <w:color w:val="000000"/>
          <w:sz w:val="19"/>
          <w:szCs w:val="19"/>
          <w:shd w:val="clear" w:color="auto" w:fill="FFFFFF"/>
        </w:rPr>
        <w:t xml:space="preserve">. 2017 Jul;55(7):661–68. </w:t>
      </w:r>
      <w:hyperlink r:id="rId25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="00366EEF" w:rsidRPr="0001755A">
          <w:rPr>
            <w:rStyle w:val="Hyperlink"/>
            <w:rFonts w:asciiTheme="majorHAnsi" w:eastAsia="Times New Roman" w:hAnsiTheme="majorHAnsi" w:cs="Arial"/>
            <w:sz w:val="19"/>
            <w:szCs w:val="19"/>
            <w:shd w:val="clear" w:color="auto" w:fill="FFFFFF"/>
          </w:rPr>
          <w:t>10.1097/MLR.0000000000000738</w:t>
        </w:r>
      </w:hyperlink>
      <w:r w:rsidR="00366EEF" w:rsidRPr="0001755A">
        <w:rPr>
          <w:rFonts w:asciiTheme="majorHAnsi" w:eastAsia="Times New Roman" w:hAnsiTheme="majorHAnsi" w:cs="Arial"/>
          <w:color w:val="000000"/>
          <w:sz w:val="19"/>
          <w:szCs w:val="19"/>
          <w:shd w:val="clear" w:color="auto" w:fill="FFFFFF"/>
        </w:rPr>
        <w:t xml:space="preserve"> </w:t>
      </w:r>
    </w:p>
    <w:p w14:paraId="4FFF2A95" w14:textId="76E86AB2" w:rsidR="00FF0F72" w:rsidRPr="0001755A" w:rsidRDefault="00FF0F72" w:rsidP="0001755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19"/>
          <w:szCs w:val="19"/>
          <w:shd w:val="clear" w:color="auto" w:fill="FFFFFF"/>
        </w:rPr>
      </w:pPr>
      <w:r w:rsidRPr="0001755A">
        <w:rPr>
          <w:rFonts w:asciiTheme="majorHAnsi" w:eastAsia="Times New Roman" w:hAnsiTheme="majorHAnsi" w:cs="Arial"/>
          <w:sz w:val="19"/>
          <w:szCs w:val="19"/>
          <w:shd w:val="clear" w:color="auto" w:fill="FFFFFF"/>
        </w:rPr>
        <w:t xml:space="preserve">Liang Y, Turner BJ. Assessing risk for drug overdose in a national cohort: role for both daily and total opioid </w:t>
      </w:r>
      <w:proofErr w:type="gramStart"/>
      <w:r w:rsidRPr="0001755A">
        <w:rPr>
          <w:rFonts w:asciiTheme="majorHAnsi" w:eastAsia="Times New Roman" w:hAnsiTheme="majorHAnsi" w:cs="Arial"/>
          <w:sz w:val="19"/>
          <w:szCs w:val="19"/>
          <w:shd w:val="clear" w:color="auto" w:fill="FFFFFF"/>
        </w:rPr>
        <w:t>dose?.</w:t>
      </w:r>
      <w:proofErr w:type="gramEnd"/>
      <w:r w:rsidRPr="0001755A">
        <w:rPr>
          <w:rFonts w:asciiTheme="majorHAnsi" w:eastAsia="Times New Roman" w:hAnsiTheme="majorHAnsi" w:cs="Arial"/>
          <w:sz w:val="19"/>
          <w:szCs w:val="19"/>
          <w:shd w:val="clear" w:color="auto" w:fill="FFFFFF"/>
        </w:rPr>
        <w:t xml:space="preserve"> J Pain. 2015 Apr;16(4):318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Arial"/>
          <w:sz w:val="19"/>
          <w:szCs w:val="19"/>
          <w:shd w:val="clear" w:color="auto" w:fill="FFFFFF"/>
        </w:rPr>
        <w:t xml:space="preserve">25. </w:t>
      </w:r>
      <w:hyperlink r:id="rId26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Pr="0001755A">
          <w:rPr>
            <w:rStyle w:val="Hyperlink"/>
            <w:rFonts w:asciiTheme="majorHAnsi" w:eastAsia="Times New Roman" w:hAnsiTheme="majorHAnsi" w:cs="Arial"/>
            <w:sz w:val="19"/>
            <w:szCs w:val="19"/>
            <w:shd w:val="clear" w:color="auto" w:fill="FFFFFF"/>
          </w:rPr>
          <w:t>10.1016/j.jpain.2014.11.007</w:t>
        </w:r>
      </w:hyperlink>
    </w:p>
    <w:p w14:paraId="3013B3BD" w14:textId="245B8580" w:rsidR="007B7CF2" w:rsidRPr="0001755A" w:rsidRDefault="00FF0F72" w:rsidP="0001755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sz w:val="19"/>
          <w:szCs w:val="19"/>
        </w:rPr>
        <w:t xml:space="preserve">Dunn KM, Saunders KW, Rutter CM, Banta-Green CJ, Merrill JO, Sullivan MD, et al. Opioid prescriptions for chronic pain and overdose: a cohort study. Ann Intern Med. 2010 Jan </w:t>
      </w:r>
      <w:proofErr w:type="gramStart"/>
      <w:r w:rsidRPr="0001755A">
        <w:rPr>
          <w:rFonts w:asciiTheme="majorHAnsi" w:hAnsiTheme="majorHAnsi"/>
          <w:sz w:val="19"/>
          <w:szCs w:val="19"/>
        </w:rPr>
        <w:t>19;152:85</w:t>
      </w:r>
      <w:proofErr w:type="gramEnd"/>
      <w:r w:rsidRPr="0001755A">
        <w:rPr>
          <w:rFonts w:asciiTheme="majorHAnsi" w:hAnsiTheme="majorHAnsi"/>
          <w:sz w:val="19"/>
          <w:szCs w:val="19"/>
        </w:rPr>
        <w:t xml:space="preserve">–92. </w:t>
      </w:r>
      <w:hyperlink r:id="rId27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https://dx.doi.org/10.7326/0003-4819-152-2-201001190-00006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2A9A09A7" w14:textId="77777777" w:rsidR="0001755A" w:rsidRPr="009E574B" w:rsidRDefault="0001755A" w:rsidP="0001755A">
      <w:pPr>
        <w:pStyle w:val="ListParagraph"/>
        <w:spacing w:after="0" w:line="240" w:lineRule="auto"/>
        <w:rPr>
          <w:rFonts w:asciiTheme="majorHAnsi" w:hAnsiTheme="majorHAnsi"/>
          <w:szCs w:val="20"/>
        </w:rPr>
      </w:pPr>
    </w:p>
    <w:p w14:paraId="345D193E" w14:textId="23423034" w:rsidR="007F34BD" w:rsidRPr="007F34BD" w:rsidRDefault="00DC311D" w:rsidP="0001755A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8D7482" w14:textId="296733D5" w:rsidR="0001755A" w:rsidRDefault="0001755A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773C2C5F" w14:textId="5A7F28FA" w:rsidR="001C46A0" w:rsidRDefault="001C46A0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5B53F162" w14:textId="3E603264" w:rsidR="001C46A0" w:rsidRDefault="001C46A0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0B79EE7D" w14:textId="5FBEE1D0" w:rsidR="001C46A0" w:rsidRDefault="001C46A0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38E9CF71" w14:textId="7CC7E495" w:rsidR="001C46A0" w:rsidRDefault="001C46A0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1B9933B9" w14:textId="77777777" w:rsidR="001C46A0" w:rsidRDefault="001C46A0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3F9707F8" w14:textId="77777777" w:rsidR="00BD1742" w:rsidRDefault="00BD1742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</w:p>
    <w:p w14:paraId="7DCB0923" w14:textId="39FC0077" w:rsidR="00DC311D" w:rsidRPr="0060102A" w:rsidRDefault="002239D9" w:rsidP="00DC311D">
      <w:pPr>
        <w:spacing w:after="0" w:line="240" w:lineRule="auto"/>
        <w:jc w:val="center"/>
        <w:rPr>
          <w:rFonts w:asciiTheme="majorHAnsi" w:hAnsiTheme="majorHAnsi"/>
          <w:b/>
          <w:color w:val="C30706"/>
          <w:sz w:val="24"/>
          <w:szCs w:val="24"/>
        </w:rPr>
      </w:pPr>
      <w:r w:rsidRPr="0060102A">
        <w:rPr>
          <w:rFonts w:asciiTheme="majorHAnsi" w:hAnsiTheme="majorHAnsi"/>
          <w:b/>
          <w:color w:val="C30706"/>
          <w:sz w:val="24"/>
          <w:szCs w:val="24"/>
        </w:rPr>
        <w:lastRenderedPageBreak/>
        <w:t>FOCUS AREA #3</w:t>
      </w:r>
      <w:r w:rsidR="00DC311D" w:rsidRPr="0060102A">
        <w:rPr>
          <w:rFonts w:asciiTheme="majorHAnsi" w:hAnsiTheme="majorHAnsi"/>
          <w:b/>
          <w:color w:val="C30706"/>
          <w:sz w:val="24"/>
          <w:szCs w:val="24"/>
        </w:rPr>
        <w:t xml:space="preserve"> – AVOID </w:t>
      </w:r>
      <w:r w:rsidRPr="0060102A">
        <w:rPr>
          <w:rFonts w:asciiTheme="majorHAnsi" w:hAnsiTheme="majorHAnsi"/>
          <w:b/>
          <w:color w:val="C30706"/>
          <w:sz w:val="24"/>
          <w:szCs w:val="24"/>
        </w:rPr>
        <w:t>DANGEROUS MEDICATION COMBINATIONS</w:t>
      </w:r>
    </w:p>
    <w:p w14:paraId="712A6EEF" w14:textId="77777777" w:rsidR="00DC311D" w:rsidRPr="004D14E4" w:rsidRDefault="00DC311D" w:rsidP="00DC311D">
      <w:pPr>
        <w:spacing w:after="0" w:line="240" w:lineRule="auto"/>
        <w:rPr>
          <w:rFonts w:asciiTheme="majorHAnsi" w:hAnsi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DC311D" w14:paraId="5493F82D" w14:textId="77777777" w:rsidTr="006E5A9D">
        <w:trPr>
          <w:trHeight w:val="260"/>
          <w:tblHeader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3EEC455" w14:textId="77777777" w:rsidR="00DC311D" w:rsidRPr="00317B0C" w:rsidRDefault="00DC311D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 xml:space="preserve">FOCUS AREA </w:t>
            </w:r>
          </w:p>
        </w:tc>
        <w:tc>
          <w:tcPr>
            <w:tcW w:w="12078" w:type="dxa"/>
            <w:shd w:val="clear" w:color="auto" w:fill="FF99CC"/>
            <w:vAlign w:val="center"/>
          </w:tcPr>
          <w:p w14:paraId="79EEADF1" w14:textId="77777777" w:rsidR="00DC311D" w:rsidRPr="00317B0C" w:rsidRDefault="00DC311D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RECOMMENDATIONS</w:t>
            </w:r>
          </w:p>
        </w:tc>
      </w:tr>
      <w:tr w:rsidR="00DC311D" w14:paraId="2D0DEA06" w14:textId="77777777" w:rsidTr="00760E6F">
        <w:trPr>
          <w:trHeight w:val="3932"/>
        </w:trPr>
        <w:tc>
          <w:tcPr>
            <w:tcW w:w="2538" w:type="dxa"/>
            <w:shd w:val="clear" w:color="auto" w:fill="E6E6E6"/>
            <w:vAlign w:val="center"/>
          </w:tcPr>
          <w:p w14:paraId="4BA4B97A" w14:textId="742175C6" w:rsidR="00DC311D" w:rsidRPr="0001755A" w:rsidRDefault="00317B0C" w:rsidP="00A63FE8">
            <w:pPr>
              <w:spacing w:before="40" w:after="0" w:line="240" w:lineRule="auto"/>
              <w:rPr>
                <w:rFonts w:asciiTheme="majorHAnsi" w:hAnsiTheme="majorHAnsi"/>
                <w:b/>
                <w:sz w:val="22"/>
              </w:rPr>
            </w:pPr>
            <w:r w:rsidRPr="0001755A">
              <w:rPr>
                <w:rFonts w:asciiTheme="majorHAnsi" w:hAnsiTheme="majorHAnsi" w:cstheme="minorHAnsi"/>
                <w:b/>
                <w:sz w:val="22"/>
              </w:rPr>
              <w:t xml:space="preserve">Avoid medication combinations that place a patient at higher risk </w:t>
            </w:r>
            <w:r w:rsidR="00C3493B" w:rsidRPr="0001755A">
              <w:rPr>
                <w:rFonts w:asciiTheme="majorHAnsi" w:hAnsiTheme="majorHAnsi" w:cstheme="minorHAnsi"/>
                <w:b/>
                <w:sz w:val="22"/>
              </w:rPr>
              <w:t>of overdose and death.</w:t>
            </w:r>
            <w:r w:rsidR="00A63FE8" w:rsidRPr="0001755A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tc>
          <w:tcPr>
            <w:tcW w:w="12078" w:type="dxa"/>
          </w:tcPr>
          <w:p w14:paraId="37253747" w14:textId="7685EC93" w:rsidR="00FD303F" w:rsidRPr="00FD303F" w:rsidRDefault="008B144D" w:rsidP="00F97B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sz w:val="22"/>
              </w:rPr>
            </w:pPr>
            <w:bookmarkStart w:id="1" w:name="_Hlk518387303"/>
            <w:r w:rsidRPr="00FD303F">
              <w:rPr>
                <w:rFonts w:asciiTheme="majorHAnsi" w:hAnsiTheme="majorHAnsi" w:cstheme="minorHAnsi"/>
                <w:sz w:val="22"/>
              </w:rPr>
              <w:t>Avoid c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oncurrent prescribing of opioids and benzodiazepines </w:t>
            </w:r>
            <w:r w:rsidR="0060102A" w:rsidRPr="00FD303F">
              <w:rPr>
                <w:rFonts w:asciiTheme="majorHAnsi" w:hAnsiTheme="majorHAnsi" w:cstheme="minorHAnsi"/>
                <w:sz w:val="22"/>
              </w:rPr>
              <w:t>and/or other sedative-hypnotics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 (e.g., drugs for insomnia</w:t>
            </w:r>
            <w:r w:rsidR="00B9660B">
              <w:rPr>
                <w:rFonts w:asciiTheme="majorHAnsi" w:hAnsiTheme="majorHAnsi" w:cstheme="minorHAnsi"/>
                <w:sz w:val="22"/>
              </w:rPr>
              <w:t>,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 such as zolpidem or eszopiclone</w:t>
            </w:r>
            <w:r w:rsidR="0060102A" w:rsidRPr="00FD303F">
              <w:rPr>
                <w:rFonts w:asciiTheme="majorHAnsi" w:hAnsiTheme="majorHAnsi" w:cstheme="minorHAnsi"/>
                <w:sz w:val="22"/>
              </w:rPr>
              <w:t xml:space="preserve">, 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>skeletal muscle relaxants</w:t>
            </w:r>
            <w:r w:rsidR="0060102A" w:rsidRPr="00FD303F">
              <w:rPr>
                <w:rFonts w:asciiTheme="majorHAnsi" w:hAnsiTheme="majorHAnsi" w:cstheme="minorHAnsi"/>
                <w:sz w:val="22"/>
              </w:rPr>
              <w:t>,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 and barbiturates) due to </w:t>
            </w:r>
            <w:r w:rsidR="0060102A" w:rsidRPr="00FD303F">
              <w:rPr>
                <w:rFonts w:asciiTheme="majorHAnsi" w:hAnsiTheme="majorHAnsi" w:cstheme="minorHAnsi"/>
                <w:sz w:val="22"/>
              </w:rPr>
              <w:t>significantly increased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 risk of opioid overdose and death.</w:t>
            </w:r>
            <w:bookmarkStart w:id="2" w:name="_Hlk516745140"/>
            <w:bookmarkEnd w:id="1"/>
            <w:r w:rsidR="00EA31DD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1431FD">
              <w:rPr>
                <w:rFonts w:asciiTheme="majorHAnsi" w:hAnsiTheme="majorHAnsi" w:cstheme="minorHAnsi"/>
                <w:sz w:val="22"/>
              </w:rPr>
              <w:t xml:space="preserve">Some evidence also suggested increased risk of overdose and death with concurrent prescribing of gabapentin and pregabalin. </w:t>
            </w:r>
          </w:p>
          <w:p w14:paraId="302382CE" w14:textId="51900C30" w:rsidR="00FD303F" w:rsidRPr="00FD303F" w:rsidRDefault="00DC311D" w:rsidP="00F97B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FD303F">
              <w:rPr>
                <w:rFonts w:asciiTheme="majorHAnsi" w:hAnsiTheme="majorHAnsi" w:cstheme="minorHAnsi"/>
                <w:sz w:val="22"/>
              </w:rPr>
              <w:t xml:space="preserve">If a patient is unable to discontinue </w:t>
            </w:r>
            <w:r w:rsidR="005C5C82" w:rsidRPr="00FD303F">
              <w:rPr>
                <w:rFonts w:asciiTheme="majorHAnsi" w:hAnsiTheme="majorHAnsi" w:cstheme="minorHAnsi"/>
                <w:sz w:val="22"/>
              </w:rPr>
              <w:t xml:space="preserve">concurrent use of </w:t>
            </w:r>
            <w:r w:rsidR="00B9660B">
              <w:rPr>
                <w:rFonts w:asciiTheme="majorHAnsi" w:hAnsiTheme="majorHAnsi" w:cstheme="minorHAnsi"/>
                <w:sz w:val="22"/>
              </w:rPr>
              <w:t xml:space="preserve">a </w:t>
            </w:r>
            <w:r w:rsidRPr="00FD303F">
              <w:rPr>
                <w:rFonts w:asciiTheme="majorHAnsi" w:hAnsiTheme="majorHAnsi" w:cstheme="minorHAnsi"/>
                <w:sz w:val="22"/>
              </w:rPr>
              <w:t>benzodiazepine</w:t>
            </w:r>
            <w:r w:rsidR="005C5C82" w:rsidRPr="00FD303F">
              <w:rPr>
                <w:rFonts w:asciiTheme="majorHAnsi" w:hAnsiTheme="majorHAnsi" w:cstheme="minorHAnsi"/>
                <w:sz w:val="22"/>
              </w:rPr>
              <w:t>, other sedative-hypnotics, or skeletal muscle relaxant with opioids</w:t>
            </w:r>
            <w:r w:rsidRPr="00FD303F">
              <w:rPr>
                <w:rFonts w:asciiTheme="majorHAnsi" w:hAnsiTheme="majorHAnsi" w:cstheme="minorHAnsi"/>
                <w:sz w:val="22"/>
              </w:rPr>
              <w:t xml:space="preserve">, </w:t>
            </w:r>
            <w:r w:rsidR="008B1B11" w:rsidRPr="00FD303F">
              <w:rPr>
                <w:rFonts w:asciiTheme="majorHAnsi" w:hAnsiTheme="majorHAnsi" w:cstheme="minorHAnsi"/>
                <w:sz w:val="22"/>
              </w:rPr>
              <w:t xml:space="preserve">the risks and benefits of the combination should </w:t>
            </w:r>
            <w:r w:rsidR="005A293A" w:rsidRPr="00FD303F">
              <w:rPr>
                <w:rFonts w:asciiTheme="majorHAnsi" w:hAnsiTheme="majorHAnsi" w:cstheme="minorHAnsi"/>
                <w:sz w:val="22"/>
              </w:rPr>
              <w:t xml:space="preserve">be discussed with the patient.  </w:t>
            </w:r>
            <w:r w:rsidR="008B1B11" w:rsidRPr="00FD303F">
              <w:rPr>
                <w:rFonts w:asciiTheme="majorHAnsi" w:hAnsiTheme="majorHAnsi" w:cstheme="minorHAnsi"/>
                <w:sz w:val="22"/>
              </w:rPr>
              <w:t xml:space="preserve">Lower </w:t>
            </w:r>
            <w:r w:rsidR="005A293A" w:rsidRPr="00FD303F">
              <w:rPr>
                <w:rFonts w:asciiTheme="majorHAnsi" w:hAnsiTheme="majorHAnsi" w:cstheme="minorHAnsi"/>
                <w:sz w:val="22"/>
              </w:rPr>
              <w:t xml:space="preserve">starting </w:t>
            </w:r>
            <w:r w:rsidR="008B1B11" w:rsidRPr="00FD303F">
              <w:rPr>
                <w:rFonts w:asciiTheme="majorHAnsi" w:hAnsiTheme="majorHAnsi" w:cstheme="minorHAnsi"/>
                <w:sz w:val="22"/>
              </w:rPr>
              <w:t xml:space="preserve">dosages of opioids are recommended (e.g. 20 MME/day) when </w:t>
            </w:r>
            <w:r w:rsidR="00B9660B">
              <w:rPr>
                <w:rFonts w:asciiTheme="majorHAnsi" w:hAnsiTheme="majorHAnsi" w:cstheme="minorHAnsi"/>
                <w:sz w:val="22"/>
              </w:rPr>
              <w:t>concurrently prescribed</w:t>
            </w:r>
            <w:r w:rsidR="008B1B11" w:rsidRPr="00FD303F">
              <w:rPr>
                <w:rFonts w:asciiTheme="majorHAnsi" w:hAnsiTheme="majorHAnsi" w:cstheme="minorHAnsi"/>
                <w:sz w:val="22"/>
              </w:rPr>
              <w:t xml:space="preserve"> with benzodiazepines and/or </w:t>
            </w:r>
            <w:r w:rsidR="005A293A" w:rsidRPr="00FD303F">
              <w:rPr>
                <w:rFonts w:asciiTheme="majorHAnsi" w:hAnsiTheme="majorHAnsi" w:cstheme="minorHAnsi"/>
                <w:sz w:val="22"/>
              </w:rPr>
              <w:t>other sedative-hypnotics.</w:t>
            </w:r>
            <w:r w:rsidR="008B1B11" w:rsidRPr="00FD303F">
              <w:rPr>
                <w:rFonts w:asciiTheme="majorHAnsi" w:hAnsiTheme="majorHAnsi" w:cstheme="minorHAnsi"/>
                <w:sz w:val="22"/>
              </w:rPr>
              <w:t xml:space="preserve">  </w:t>
            </w:r>
            <w:r w:rsidRPr="00FD303F">
              <w:rPr>
                <w:rFonts w:asciiTheme="majorHAnsi" w:hAnsiTheme="majorHAnsi" w:cstheme="minorHAnsi"/>
                <w:sz w:val="22"/>
              </w:rPr>
              <w:t>J</w:t>
            </w:r>
            <w:r w:rsidRPr="00FD303F">
              <w:rPr>
                <w:rFonts w:asciiTheme="majorHAnsi" w:eastAsia="Times New Roman" w:hAnsiTheme="majorHAnsi" w:cstheme="minorHAnsi"/>
                <w:sz w:val="22"/>
              </w:rPr>
              <w:t>ustification for dosage and drug combination</w:t>
            </w:r>
            <w:r w:rsidR="00C3493B">
              <w:rPr>
                <w:rFonts w:asciiTheme="majorHAnsi" w:eastAsia="Times New Roman" w:hAnsiTheme="majorHAnsi" w:cstheme="minorHAnsi"/>
                <w:sz w:val="22"/>
              </w:rPr>
              <w:t>s</w:t>
            </w:r>
            <w:r w:rsidRPr="00FD303F">
              <w:rPr>
                <w:rFonts w:asciiTheme="majorHAnsi" w:eastAsia="Times New Roman" w:hAnsiTheme="majorHAnsi" w:cstheme="minorHAnsi"/>
                <w:sz w:val="22"/>
              </w:rPr>
              <w:t xml:space="preserve"> should be documented in the medical record.</w:t>
            </w:r>
            <w:bookmarkEnd w:id="2"/>
          </w:p>
          <w:p w14:paraId="4B896675" w14:textId="412E4AF2" w:rsidR="00FD303F" w:rsidRPr="00FD303F" w:rsidRDefault="003D7F56" w:rsidP="00F97B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FD303F">
              <w:rPr>
                <w:rFonts w:asciiTheme="majorHAnsi" w:hAnsiTheme="majorHAnsi" w:cstheme="minorHAnsi"/>
                <w:sz w:val="22"/>
              </w:rPr>
              <w:t>The CDC recommends u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rine drug screens should be </w:t>
            </w:r>
            <w:r w:rsidRPr="00FD303F">
              <w:rPr>
                <w:rFonts w:asciiTheme="majorHAnsi" w:hAnsiTheme="majorHAnsi" w:cstheme="minorHAnsi"/>
                <w:sz w:val="22"/>
              </w:rPr>
              <w:t xml:space="preserve">ordered upon initiation of opioids for chronic painful conditions and then yearly after that 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>to evaluate if the patient is taking legal or illicit drugs and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 to</w:t>
            </w:r>
            <w:r w:rsidR="00DC311D" w:rsidRPr="00FD303F">
              <w:rPr>
                <w:rFonts w:asciiTheme="majorHAnsi" w:hAnsiTheme="majorHAnsi" w:cstheme="minorHAnsi"/>
                <w:sz w:val="22"/>
              </w:rPr>
              <w:t xml:space="preserve"> verify the patient is taking the medications as prescribed.</w:t>
            </w:r>
            <w:r w:rsidRPr="00FD303F">
              <w:rPr>
                <w:rFonts w:asciiTheme="majorHAnsi" w:hAnsiTheme="majorHAnsi" w:cstheme="minorHAnsi"/>
                <w:sz w:val="22"/>
              </w:rPr>
              <w:t xml:space="preserve">      </w:t>
            </w:r>
          </w:p>
          <w:p w14:paraId="7893C7A3" w14:textId="712C83BF" w:rsidR="00DC311D" w:rsidRPr="00FD303F" w:rsidRDefault="00DC311D" w:rsidP="00F97B8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FD303F">
              <w:rPr>
                <w:rFonts w:asciiTheme="majorHAnsi" w:hAnsiTheme="majorHAnsi" w:cstheme="minorHAnsi"/>
                <w:sz w:val="22"/>
              </w:rPr>
              <w:t>Providers must offer naloxone to any patient under the following conditions (per AB 2760):</w:t>
            </w:r>
          </w:p>
          <w:p w14:paraId="585EB9D7" w14:textId="77777777" w:rsidR="00DC311D" w:rsidRPr="00317B0C" w:rsidRDefault="00DC311D" w:rsidP="00F97B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>&gt; 90 MME/day of prescribed opioids</w:t>
            </w:r>
          </w:p>
          <w:p w14:paraId="450C503C" w14:textId="6A58130B" w:rsidR="00DC311D" w:rsidRPr="00317B0C" w:rsidRDefault="00DC311D" w:rsidP="00F97B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>Concurrent prescription of opioids with a benzodiazepine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 </w:t>
            </w:r>
          </w:p>
          <w:p w14:paraId="31448779" w14:textId="093B62CB" w:rsidR="00FD303F" w:rsidRPr="00760E6F" w:rsidRDefault="00DC311D" w:rsidP="00F97B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317B0C">
              <w:rPr>
                <w:rFonts w:asciiTheme="majorHAnsi" w:hAnsiTheme="majorHAnsi" w:cstheme="minorHAnsi"/>
                <w:sz w:val="22"/>
              </w:rPr>
              <w:t>Patient determined to be at increased risk for overdose, including those with a history of substance use disorder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 (SUD)</w:t>
            </w:r>
          </w:p>
        </w:tc>
      </w:tr>
    </w:tbl>
    <w:p w14:paraId="09D7C372" w14:textId="77777777" w:rsidR="00DC311D" w:rsidRDefault="00DC311D" w:rsidP="00DC311D">
      <w:pPr>
        <w:spacing w:after="0" w:line="240" w:lineRule="auto"/>
        <w:rPr>
          <w:rFonts w:asciiTheme="majorHAnsi" w:hAnsiTheme="majorHAnsi"/>
          <w:szCs w:val="20"/>
        </w:rPr>
      </w:pPr>
    </w:p>
    <w:p w14:paraId="3571A908" w14:textId="77777777" w:rsidR="00DC311D" w:rsidRPr="0001755A" w:rsidRDefault="00DC311D" w:rsidP="0001755A">
      <w:p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b/>
          <w:sz w:val="19"/>
          <w:szCs w:val="19"/>
        </w:rPr>
        <w:t>References/Resources</w:t>
      </w:r>
    </w:p>
    <w:p w14:paraId="1E7367DA" w14:textId="75E3A1AC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Voshaar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RC,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Couvée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JE, van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Balkom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AJ, Mulder PG,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Zitman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FG. Strategies for discontinuing long-term benzodiazepine use: meta-analysis.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Br J Psychiatry. 2006 </w:t>
      </w:r>
      <w:proofErr w:type="gramStart"/>
      <w:r w:rsidRPr="0001755A">
        <w:rPr>
          <w:rFonts w:asciiTheme="majorHAnsi" w:eastAsia="Times New Roman" w:hAnsiTheme="majorHAnsi" w:cs="Times New Roman"/>
          <w:sz w:val="19"/>
          <w:szCs w:val="19"/>
        </w:rPr>
        <w:t>Sep;189:213</w:t>
      </w:r>
      <w:proofErr w:type="gramEnd"/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20. </w:t>
      </w:r>
      <w:hyperlink r:id="rId28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10.1192/bjp.189.3.213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3E461284" w14:textId="7F158EE3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Jones CM and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McAninch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JK. Emergency department visits and overdose deaths from combined use of opioids and benzodiazepines. Am J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Prev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Med. 2015 Oct;49(4):493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501. </w:t>
      </w:r>
      <w:hyperlink r:id="rId29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10.1016/j.amepre.2015.03.040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0C71211A" w14:textId="0060D1F8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Bachhuber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MA, Hennessy S, Cunningham CO,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Starrels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JL. Increasing benzodiazepine prescriptions and overdose mortality in the United States, 1996-2013. Am J Public Health. 2016 Apr;106(4):686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88. </w:t>
      </w:r>
      <w:hyperlink r:id="rId30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10.2105/AJPH.2016.303061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1F8549C3" w14:textId="7FD35EA7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Dasgupta N, Funk MJ,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Proescholdbell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S, Hirsch A,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Ribisl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KM, Marshall S. Cohort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s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tudy of the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i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mpact of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h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>igh-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d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ose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o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pioid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a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nalgesics on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o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verdose </w:t>
      </w:r>
      <w:r w:rsidR="00BA5BA5" w:rsidRPr="0001755A">
        <w:rPr>
          <w:rFonts w:asciiTheme="majorHAnsi" w:eastAsia="Times New Roman" w:hAnsiTheme="majorHAnsi" w:cs="Times New Roman"/>
          <w:sz w:val="19"/>
          <w:szCs w:val="19"/>
        </w:rPr>
        <w:t>m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>ortality. Pain Med. 2016 Jan;17(1):85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98. Erratum in: Pain Med. 2016 Apr;17(4):797-8. </w:t>
      </w:r>
      <w:hyperlink r:id="rId31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10.1111/pme.12907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78C29FE5" w14:textId="6AE325E6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Cho J, Spence M,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Niu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F, Hui R, Gray P, Steinberg S. Risk of </w:t>
      </w:r>
      <w:r w:rsidR="003F2B5C" w:rsidRPr="0001755A">
        <w:rPr>
          <w:rFonts w:asciiTheme="majorHAnsi" w:eastAsia="Times New Roman" w:hAnsiTheme="majorHAnsi" w:cs="Times New Roman"/>
          <w:sz w:val="19"/>
          <w:szCs w:val="19"/>
        </w:rPr>
        <w:t>o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>pioid overdose with concurrent use of prescription opioids, benzodiazepines, and non-benzodiazepine sedative-hypnotics. Poster presented at: Academy of Managed Care Pharmacy Annual Meeting, April 2018</w:t>
      </w:r>
      <w:r w:rsidR="009E5EF0" w:rsidRPr="0001755A">
        <w:rPr>
          <w:rFonts w:asciiTheme="majorHAnsi" w:eastAsia="Times New Roman" w:hAnsiTheme="majorHAnsi" w:cs="Times New Roman"/>
          <w:sz w:val="19"/>
          <w:szCs w:val="19"/>
        </w:rPr>
        <w:t>.</w:t>
      </w:r>
    </w:p>
    <w:p w14:paraId="470D1F17" w14:textId="20EB2F43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sz w:val="19"/>
          <w:szCs w:val="19"/>
        </w:rPr>
        <w:t xml:space="preserve">Prescription drugs: prescribers: naloxone hydrochloride and other FDA-approved drugs. Cal. </w:t>
      </w:r>
      <w:proofErr w:type="spellStart"/>
      <w:r w:rsidRPr="0001755A">
        <w:rPr>
          <w:rFonts w:asciiTheme="majorHAnsi" w:hAnsiTheme="majorHAnsi"/>
          <w:sz w:val="19"/>
          <w:szCs w:val="19"/>
        </w:rPr>
        <w:t>Assemb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. B. 2760 (2018), Chapter 324 (Cal. Stat. 2018). </w:t>
      </w:r>
      <w:hyperlink r:id="rId32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https://leginfo.legislature.ca.gov/faces/billTextClient.xhtml?bill_id=201720180AB2760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32BA776E" w14:textId="27B0AFE0" w:rsidR="00FF0F7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Gomes T,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Juurlink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DN, Antoniou T, Mamdani MM, Paterson JM, van den Brink W. Gabapentin, opioids, and the risk of opioid-related death: a population-based nested case-control study. PLOS Med. 2017 Oct 3;14(10</w:t>
      </w:r>
      <w:proofErr w:type="gramStart"/>
      <w:r w:rsidRPr="0001755A">
        <w:rPr>
          <w:rFonts w:asciiTheme="majorHAnsi" w:eastAsia="Times New Roman" w:hAnsiTheme="majorHAnsi" w:cs="Times New Roman"/>
          <w:sz w:val="19"/>
          <w:szCs w:val="19"/>
        </w:rPr>
        <w:t>):e</w:t>
      </w:r>
      <w:proofErr w:type="gram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1002396. </w:t>
      </w:r>
      <w:hyperlink r:id="rId33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10.1371/journal.pmed.1002396</w:t>
        </w:r>
      </w:hyperlink>
    </w:p>
    <w:p w14:paraId="4731DD2B" w14:textId="51693368" w:rsidR="007B7CF2" w:rsidRPr="0001755A" w:rsidRDefault="00FF0F72" w:rsidP="0001755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Gomes T, Greaves S, van den Brink W, Antoniou T, Mamdani MM, Paterson JM, et al. Pregabalin and the risk for opioid-related death: a nested case–control study. Ann Intern Med. 2018;169(10):732–34. </w:t>
      </w:r>
      <w:hyperlink r:id="rId34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10.7326/M18-1136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5F804380" w14:textId="77777777" w:rsidR="0001755A" w:rsidRPr="009E574B" w:rsidRDefault="0001755A" w:rsidP="0001755A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2C021E29" w14:textId="4C04FDE5" w:rsidR="00BD1742" w:rsidRPr="00DD7668" w:rsidRDefault="00E53EA1" w:rsidP="0001755A">
      <w:pPr>
        <w:spacing w:after="0" w:line="240" w:lineRule="auto"/>
        <w:rPr>
          <w:rFonts w:asciiTheme="majorHAnsi" w:hAnsiTheme="majorHAnsi"/>
          <w:szCs w:val="20"/>
        </w:rPr>
      </w:pPr>
      <w:r w:rsidRPr="009E574B"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</w:t>
      </w:r>
      <w:r>
        <w:rPr>
          <w:rFonts w:asciiTheme="majorHAnsi" w:hAnsiTheme="majorHAnsi"/>
          <w:szCs w:val="20"/>
        </w:rPr>
        <w:t>--------------------------------------------------------------------------------------</w:t>
      </w:r>
    </w:p>
    <w:p w14:paraId="0813BCDD" w14:textId="77777777" w:rsidR="0001755A" w:rsidRDefault="0001755A" w:rsidP="00E53EA1">
      <w:pPr>
        <w:spacing w:after="0" w:line="240" w:lineRule="auto"/>
        <w:jc w:val="center"/>
        <w:rPr>
          <w:rFonts w:asciiTheme="majorHAnsi" w:hAnsiTheme="majorHAnsi"/>
          <w:b/>
          <w:color w:val="008000"/>
          <w:sz w:val="24"/>
          <w:szCs w:val="24"/>
        </w:rPr>
      </w:pPr>
    </w:p>
    <w:p w14:paraId="66F2144C" w14:textId="77777777" w:rsidR="00235021" w:rsidRDefault="00235021" w:rsidP="00E53EA1">
      <w:pPr>
        <w:spacing w:after="0" w:line="240" w:lineRule="auto"/>
        <w:jc w:val="center"/>
        <w:rPr>
          <w:rFonts w:asciiTheme="majorHAnsi" w:hAnsiTheme="majorHAnsi"/>
          <w:b/>
          <w:color w:val="008000"/>
          <w:sz w:val="24"/>
          <w:szCs w:val="24"/>
        </w:rPr>
      </w:pPr>
    </w:p>
    <w:p w14:paraId="797F1EF6" w14:textId="11583211" w:rsidR="00E53EA1" w:rsidRPr="00E53EA1" w:rsidRDefault="00E53EA1" w:rsidP="00E53EA1">
      <w:pPr>
        <w:spacing w:after="0" w:line="240" w:lineRule="auto"/>
        <w:jc w:val="center"/>
        <w:rPr>
          <w:rFonts w:asciiTheme="majorHAnsi" w:hAnsiTheme="majorHAnsi"/>
          <w:b/>
          <w:color w:val="008000"/>
          <w:sz w:val="24"/>
          <w:szCs w:val="24"/>
        </w:rPr>
      </w:pPr>
      <w:r w:rsidRPr="00E53EA1">
        <w:rPr>
          <w:rFonts w:asciiTheme="majorHAnsi" w:hAnsiTheme="majorHAnsi"/>
          <w:b/>
          <w:color w:val="008000"/>
          <w:sz w:val="24"/>
          <w:szCs w:val="24"/>
        </w:rPr>
        <w:lastRenderedPageBreak/>
        <w:t>FOCUS AREA #4 – SAFE TAPERING PRACTICES</w:t>
      </w:r>
    </w:p>
    <w:p w14:paraId="1CD3B8EF" w14:textId="77777777" w:rsidR="00E53EA1" w:rsidRPr="004D14E4" w:rsidRDefault="00E53EA1" w:rsidP="00E53EA1">
      <w:pPr>
        <w:spacing w:after="0" w:line="240" w:lineRule="auto"/>
        <w:rPr>
          <w:rFonts w:asciiTheme="majorHAnsi" w:hAnsi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1880"/>
      </w:tblGrid>
      <w:tr w:rsidR="00E53EA1" w14:paraId="7A620A8C" w14:textId="77777777" w:rsidTr="00E53EA1">
        <w:trPr>
          <w:trHeight w:val="260"/>
          <w:tblHeader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6A5C27" w14:textId="77777777" w:rsidR="00E53EA1" w:rsidRPr="00317B0C" w:rsidRDefault="00E53EA1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 xml:space="preserve">FOCUS AREA </w:t>
            </w:r>
          </w:p>
        </w:tc>
        <w:tc>
          <w:tcPr>
            <w:tcW w:w="12078" w:type="dxa"/>
            <w:shd w:val="clear" w:color="auto" w:fill="CCFFCC"/>
            <w:vAlign w:val="center"/>
          </w:tcPr>
          <w:p w14:paraId="685E07E7" w14:textId="77777777" w:rsidR="00E53EA1" w:rsidRPr="00317B0C" w:rsidRDefault="00E53EA1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RECOMMENDATIONS</w:t>
            </w:r>
          </w:p>
        </w:tc>
      </w:tr>
      <w:tr w:rsidR="00E53EA1" w14:paraId="4B1BE12A" w14:textId="77777777" w:rsidTr="00F97B8B">
        <w:trPr>
          <w:trHeight w:val="170"/>
        </w:trPr>
        <w:tc>
          <w:tcPr>
            <w:tcW w:w="2538" w:type="dxa"/>
            <w:shd w:val="clear" w:color="auto" w:fill="E6E6E6"/>
            <w:vAlign w:val="center"/>
          </w:tcPr>
          <w:p w14:paraId="1E3B9C2A" w14:textId="77777777" w:rsidR="00E53EA1" w:rsidRPr="0001755A" w:rsidRDefault="00E53EA1" w:rsidP="0060102A">
            <w:pPr>
              <w:spacing w:after="0" w:line="240" w:lineRule="auto"/>
              <w:rPr>
                <w:rFonts w:asciiTheme="majorHAnsi" w:hAnsiTheme="majorHAnsi" w:cstheme="minorHAnsi"/>
                <w:b/>
                <w:sz w:val="22"/>
              </w:rPr>
            </w:pPr>
            <w:r w:rsidRPr="0001755A">
              <w:rPr>
                <w:rFonts w:asciiTheme="majorHAnsi" w:hAnsiTheme="majorHAnsi" w:cstheme="minorHAnsi"/>
                <w:b/>
                <w:sz w:val="22"/>
              </w:rPr>
              <w:t>For chronic pain patients, safely taper down from higher-dose opioids to lower, safer doses.</w:t>
            </w:r>
          </w:p>
          <w:p w14:paraId="6FE2C21C" w14:textId="77777777" w:rsidR="00E53EA1" w:rsidRPr="0001755A" w:rsidRDefault="00E53EA1" w:rsidP="0060102A">
            <w:pPr>
              <w:spacing w:after="0" w:line="240" w:lineRule="auto"/>
              <w:rPr>
                <w:rFonts w:asciiTheme="majorHAnsi" w:hAnsiTheme="majorHAnsi" w:cstheme="minorHAnsi"/>
                <w:b/>
                <w:sz w:val="22"/>
              </w:rPr>
            </w:pPr>
          </w:p>
          <w:p w14:paraId="693D979E" w14:textId="77777777" w:rsidR="00E53EA1" w:rsidRPr="00E53EA1" w:rsidRDefault="00E53EA1" w:rsidP="0060102A">
            <w:pPr>
              <w:spacing w:before="40" w:after="0" w:line="240" w:lineRule="auto"/>
              <w:rPr>
                <w:rFonts w:asciiTheme="majorHAnsi" w:hAnsiTheme="majorHAnsi"/>
                <w:sz w:val="22"/>
              </w:rPr>
            </w:pPr>
            <w:r w:rsidRPr="0001755A">
              <w:rPr>
                <w:rFonts w:asciiTheme="majorHAnsi" w:hAnsiTheme="majorHAnsi" w:cstheme="minorHAnsi"/>
                <w:b/>
                <w:i/>
                <w:sz w:val="22"/>
              </w:rPr>
              <w:t>*Excludes palliative, end-of-life (hospice), and active cancer patients.</w:t>
            </w:r>
          </w:p>
        </w:tc>
        <w:tc>
          <w:tcPr>
            <w:tcW w:w="12078" w:type="dxa"/>
          </w:tcPr>
          <w:p w14:paraId="4056A226" w14:textId="15B321B3" w:rsidR="001A699E" w:rsidRPr="007B6711" w:rsidRDefault="00E53EA1" w:rsidP="007B6711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53EA1">
              <w:rPr>
                <w:rFonts w:asciiTheme="majorHAnsi" w:hAnsiTheme="majorHAnsi" w:cstheme="minorHAnsi"/>
                <w:sz w:val="22"/>
              </w:rPr>
              <w:t>Tapering schedules should be individualized, performed safely, minimize symptoms of opioid withdrawal, and maximize pain treatment with non-opioid and non</w:t>
            </w:r>
            <w:r>
              <w:rPr>
                <w:rFonts w:asciiTheme="majorHAnsi" w:hAnsiTheme="majorHAnsi" w:cstheme="minorHAnsi"/>
                <w:sz w:val="22"/>
              </w:rPr>
              <w:t>-pharmacologic therapies</w:t>
            </w:r>
            <w:r w:rsidR="00254E3C">
              <w:rPr>
                <w:rFonts w:asciiTheme="majorHAnsi" w:hAnsiTheme="majorHAnsi" w:cstheme="minorHAnsi"/>
                <w:sz w:val="22"/>
              </w:rPr>
              <w:t xml:space="preserve"> (</w:t>
            </w:r>
            <w:r w:rsidR="00254E3C" w:rsidRPr="00254E3C">
              <w:rPr>
                <w:rFonts w:asciiTheme="majorHAnsi" w:hAnsiTheme="majorHAnsi" w:cstheme="minorHAnsi"/>
                <w:i/>
                <w:sz w:val="22"/>
              </w:rPr>
              <w:t>see the References/Resources below for Sample Tapering Guidelines</w:t>
            </w:r>
            <w:r w:rsidR="00254E3C">
              <w:rPr>
                <w:rFonts w:asciiTheme="majorHAnsi" w:hAnsiTheme="majorHAnsi" w:cstheme="minorHAnsi"/>
                <w:sz w:val="22"/>
              </w:rPr>
              <w:t>).</w:t>
            </w:r>
            <w:r w:rsidR="004166F6">
              <w:rPr>
                <w:rFonts w:asciiTheme="majorHAnsi" w:hAnsiTheme="majorHAnsi" w:cstheme="minorHAnsi"/>
                <w:sz w:val="22"/>
              </w:rPr>
              <w:t xml:space="preserve">   </w:t>
            </w:r>
          </w:p>
          <w:p w14:paraId="28F8F047" w14:textId="457AA65F" w:rsidR="00833562" w:rsidRPr="007B6711" w:rsidRDefault="004166F6" w:rsidP="007B6711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22"/>
              </w:rPr>
              <w:t xml:space="preserve">Although </w:t>
            </w:r>
            <w:r w:rsidR="00416EA5">
              <w:rPr>
                <w:rFonts w:asciiTheme="majorHAnsi" w:hAnsiTheme="majorHAnsi" w:cstheme="minorHAnsi"/>
                <w:sz w:val="22"/>
              </w:rPr>
              <w:t xml:space="preserve">safely </w:t>
            </w:r>
            <w:r>
              <w:rPr>
                <w:rFonts w:asciiTheme="majorHAnsi" w:hAnsiTheme="majorHAnsi" w:cstheme="minorHAnsi"/>
                <w:sz w:val="22"/>
              </w:rPr>
              <w:t xml:space="preserve">tapering down from higher-dose opioids is recommended, </w:t>
            </w:r>
            <w:r w:rsidR="00416EA5">
              <w:rPr>
                <w:rFonts w:asciiTheme="majorHAnsi" w:hAnsiTheme="majorHAnsi" w:cstheme="minorHAnsi"/>
                <w:sz w:val="22"/>
              </w:rPr>
              <w:t xml:space="preserve">involuntary and/or rapid tapers can lead to more harm than benefit </w:t>
            </w:r>
            <w:r w:rsidR="00BD669B" w:rsidRPr="00BD669B">
              <w:rPr>
                <w:rFonts w:asciiTheme="majorHAnsi" w:hAnsiTheme="majorHAnsi"/>
                <w:sz w:val="22"/>
              </w:rPr>
              <w:t xml:space="preserve">by putting patients at risk for </w:t>
            </w:r>
            <w:r w:rsidR="00BD669B">
              <w:rPr>
                <w:rFonts w:asciiTheme="majorHAnsi" w:hAnsiTheme="majorHAnsi"/>
                <w:sz w:val="22"/>
              </w:rPr>
              <w:t xml:space="preserve">poor outcomes such as </w:t>
            </w:r>
            <w:r w:rsidR="00BD669B" w:rsidRPr="00BD669B">
              <w:rPr>
                <w:rFonts w:asciiTheme="majorHAnsi" w:hAnsiTheme="majorHAnsi"/>
                <w:sz w:val="22"/>
              </w:rPr>
              <w:t xml:space="preserve">medical and/or psychiatric decompensation, relapse or illicit drug use, </w:t>
            </w:r>
            <w:r w:rsidR="003A44CC">
              <w:rPr>
                <w:rFonts w:asciiTheme="majorHAnsi" w:hAnsiTheme="majorHAnsi"/>
                <w:sz w:val="22"/>
              </w:rPr>
              <w:t xml:space="preserve">overdose, </w:t>
            </w:r>
            <w:r w:rsidR="00E42B74">
              <w:rPr>
                <w:rFonts w:asciiTheme="majorHAnsi" w:hAnsiTheme="majorHAnsi"/>
                <w:sz w:val="22"/>
              </w:rPr>
              <w:t>and</w:t>
            </w:r>
            <w:r w:rsidR="00BD669B" w:rsidRPr="00BD669B">
              <w:rPr>
                <w:rFonts w:asciiTheme="majorHAnsi" w:hAnsiTheme="majorHAnsi"/>
                <w:sz w:val="22"/>
              </w:rPr>
              <w:t xml:space="preserve"> self-harm. Tapering decisions must be made based on the individual circumstances of each case, with careful consideration of the risks and benefits</w:t>
            </w:r>
            <w:r w:rsidR="00BD669B">
              <w:rPr>
                <w:rFonts w:asciiTheme="majorHAnsi" w:hAnsiTheme="majorHAnsi" w:cstheme="minorHAnsi"/>
                <w:sz w:val="22"/>
              </w:rPr>
              <w:t>.</w:t>
            </w:r>
            <w:r w:rsidR="00E400E4">
              <w:rPr>
                <w:rFonts w:asciiTheme="majorHAnsi" w:hAnsiTheme="majorHAnsi" w:cstheme="minorHAnsi"/>
                <w:sz w:val="22"/>
              </w:rPr>
              <w:br/>
            </w:r>
          </w:p>
          <w:p w14:paraId="7D94D381" w14:textId="776AEC8F" w:rsidR="00EA31DD" w:rsidRDefault="00E53EA1" w:rsidP="00F97B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E53EA1">
              <w:rPr>
                <w:rFonts w:asciiTheme="majorHAnsi" w:hAnsiTheme="majorHAnsi" w:cstheme="minorHAnsi"/>
                <w:sz w:val="22"/>
              </w:rPr>
              <w:t xml:space="preserve">Rapidity of </w:t>
            </w:r>
            <w:r w:rsidR="001A699E">
              <w:rPr>
                <w:rFonts w:asciiTheme="majorHAnsi" w:hAnsiTheme="majorHAnsi" w:cstheme="minorHAnsi"/>
                <w:sz w:val="22"/>
              </w:rPr>
              <w:t xml:space="preserve">voluntary 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tapering should be patient-specific 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and </w:t>
            </w:r>
            <w:r w:rsidRPr="00E53EA1">
              <w:rPr>
                <w:rFonts w:asciiTheme="majorHAnsi" w:hAnsiTheme="majorHAnsi" w:cstheme="minorHAnsi"/>
                <w:sz w:val="22"/>
              </w:rPr>
              <w:t>completed in a safe manner</w:t>
            </w:r>
            <w:r w:rsidR="00F80996">
              <w:rPr>
                <w:rFonts w:asciiTheme="majorHAnsi" w:hAnsiTheme="majorHAnsi" w:cstheme="minorHAnsi"/>
                <w:sz w:val="22"/>
              </w:rPr>
              <w:t xml:space="preserve">.  Tapering may </w:t>
            </w:r>
            <w:r w:rsidRPr="00E53EA1">
              <w:rPr>
                <w:rFonts w:asciiTheme="majorHAnsi" w:hAnsiTheme="majorHAnsi" w:cstheme="minorHAnsi"/>
                <w:sz w:val="22"/>
              </w:rPr>
              <w:t>rang</w:t>
            </w:r>
            <w:r w:rsidR="00F80996">
              <w:rPr>
                <w:rFonts w:asciiTheme="majorHAnsi" w:hAnsiTheme="majorHAnsi" w:cstheme="minorHAnsi"/>
                <w:sz w:val="22"/>
              </w:rPr>
              <w:t>e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F80996">
              <w:rPr>
                <w:rFonts w:asciiTheme="majorHAnsi" w:hAnsiTheme="majorHAnsi" w:cstheme="minorHAnsi"/>
                <w:sz w:val="22"/>
              </w:rPr>
              <w:t xml:space="preserve">from </w:t>
            </w:r>
            <w:r w:rsidRPr="00E53EA1">
              <w:rPr>
                <w:rFonts w:asciiTheme="majorHAnsi" w:hAnsiTheme="majorHAnsi" w:cstheme="minorHAnsi"/>
                <w:sz w:val="22"/>
              </w:rPr>
              <w:t>5</w:t>
            </w:r>
            <w:r w:rsidR="00F767AB">
              <w:rPr>
                <w:rFonts w:asciiTheme="majorHAnsi" w:hAnsiTheme="majorHAnsi" w:cstheme="minorHAnsi"/>
                <w:sz w:val="22"/>
              </w:rPr>
              <w:t>–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10% </w:t>
            </w:r>
            <w:r w:rsidR="00E42B74">
              <w:rPr>
                <w:rFonts w:asciiTheme="majorHAnsi" w:hAnsiTheme="majorHAnsi" w:cstheme="minorHAnsi"/>
                <w:sz w:val="22"/>
              </w:rPr>
              <w:t>per</w:t>
            </w:r>
            <w:r w:rsidR="003A44CC"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week </w:t>
            </w:r>
            <w:r>
              <w:rPr>
                <w:rFonts w:asciiTheme="majorHAnsi" w:hAnsiTheme="majorHAnsi" w:cstheme="minorHAnsi"/>
                <w:sz w:val="22"/>
              </w:rPr>
              <w:t>to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 5</w:t>
            </w:r>
            <w:r w:rsidR="00F767AB">
              <w:rPr>
                <w:rFonts w:asciiTheme="majorHAnsi" w:hAnsiTheme="majorHAnsi" w:cstheme="minorHAnsi"/>
                <w:sz w:val="22"/>
              </w:rPr>
              <w:t>–</w:t>
            </w:r>
            <w:r w:rsidRPr="00E53EA1">
              <w:rPr>
                <w:rFonts w:asciiTheme="majorHAnsi" w:hAnsiTheme="majorHAnsi" w:cstheme="minorHAnsi"/>
                <w:sz w:val="22"/>
              </w:rPr>
              <w:t>10% per month</w:t>
            </w:r>
            <w:r w:rsidR="00337177">
              <w:rPr>
                <w:rFonts w:asciiTheme="majorHAnsi" w:hAnsiTheme="majorHAnsi" w:cstheme="minorHAnsi"/>
                <w:sz w:val="22"/>
              </w:rPr>
              <w:t xml:space="preserve"> or longer</w:t>
            </w:r>
            <w:r w:rsidR="00F80996">
              <w:rPr>
                <w:rFonts w:asciiTheme="majorHAnsi" w:hAnsiTheme="majorHAnsi" w:cstheme="minorHAnsi"/>
                <w:sz w:val="22"/>
              </w:rPr>
              <w:t xml:space="preserve"> when </w:t>
            </w:r>
            <w:bookmarkStart w:id="3" w:name="_Hlk516059725"/>
            <w:r w:rsidR="007B6711">
              <w:rPr>
                <w:rFonts w:asciiTheme="majorHAnsi" w:hAnsiTheme="majorHAnsi" w:cstheme="minorHAnsi"/>
                <w:sz w:val="22"/>
              </w:rPr>
              <w:t xml:space="preserve">necessary </w:t>
            </w:r>
            <w:r w:rsidR="007B6711" w:rsidRPr="00E53EA1">
              <w:rPr>
                <w:rFonts w:asciiTheme="majorHAnsi" w:hAnsiTheme="majorHAnsi" w:cstheme="minorHAnsi"/>
                <w:sz w:val="22"/>
              </w:rPr>
              <w:t>depending</w:t>
            </w:r>
            <w:r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on </w:t>
            </w:r>
            <w:r>
              <w:rPr>
                <w:rFonts w:asciiTheme="majorHAnsi" w:hAnsiTheme="majorHAnsi" w:cstheme="minorHAnsi"/>
                <w:sz w:val="22"/>
              </w:rPr>
              <w:t xml:space="preserve">the 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risk of harm, </w:t>
            </w:r>
            <w:bookmarkEnd w:id="3"/>
            <w:r w:rsidRPr="00E53EA1">
              <w:rPr>
                <w:rFonts w:asciiTheme="majorHAnsi" w:hAnsiTheme="majorHAnsi" w:cstheme="minorHAnsi"/>
                <w:sz w:val="22"/>
              </w:rPr>
              <w:t xml:space="preserve">patient’s clinical need, and/or clinical judgment. </w:t>
            </w:r>
          </w:p>
          <w:p w14:paraId="15983249" w14:textId="16D16561" w:rsidR="00EA31DD" w:rsidRPr="00EA31DD" w:rsidRDefault="00EA31DD" w:rsidP="00F97B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EA31DD">
              <w:rPr>
                <w:rFonts w:asciiTheme="majorHAnsi" w:hAnsiTheme="majorHAnsi" w:cstheme="minorHAnsi"/>
                <w:sz w:val="22"/>
              </w:rPr>
              <w:t>During a taper of prescription opioids, the patient should be carefully monitored through clinical visits and urine toxicology testing.  Some patients will exhibit symptoms of an opioid use disorder during a taper. For these individuals, they would benefit from transition to buprenorphine-naloxone for pain and OUD.</w:t>
            </w:r>
          </w:p>
          <w:p w14:paraId="729E0001" w14:textId="4519DD59" w:rsidR="00E53EA1" w:rsidRPr="00E53EA1" w:rsidRDefault="00F767AB" w:rsidP="00F97B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F767AB">
              <w:rPr>
                <w:rFonts w:asciiTheme="majorHAnsi" w:hAnsiTheme="majorHAnsi" w:cstheme="minorHAnsi"/>
                <w:sz w:val="22"/>
              </w:rPr>
              <w:t>D</w:t>
            </w:r>
            <w:r>
              <w:rPr>
                <w:rFonts w:asciiTheme="majorHAnsi" w:hAnsiTheme="majorHAnsi" w:cstheme="minorHAnsi"/>
                <w:sz w:val="22"/>
              </w:rPr>
              <w:t>ecreasing or d</w:t>
            </w:r>
            <w:r w:rsidRPr="00F767AB">
              <w:rPr>
                <w:rFonts w:asciiTheme="majorHAnsi" w:hAnsiTheme="majorHAnsi" w:cstheme="minorHAnsi"/>
                <w:sz w:val="22"/>
              </w:rPr>
              <w:t>iscontinuing opioids is a high-risk time for patient</w:t>
            </w:r>
            <w:r w:rsidR="00DF1F4F">
              <w:rPr>
                <w:rFonts w:asciiTheme="majorHAnsi" w:hAnsiTheme="majorHAnsi" w:cstheme="minorHAnsi"/>
                <w:sz w:val="22"/>
              </w:rPr>
              <w:t>s</w:t>
            </w:r>
            <w:r>
              <w:rPr>
                <w:rFonts w:asciiTheme="majorHAnsi" w:hAnsiTheme="majorHAnsi" w:cstheme="minorHAnsi"/>
                <w:sz w:val="22"/>
              </w:rPr>
              <w:t xml:space="preserve">, and management of 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withdrawal symptoms is </w:t>
            </w:r>
            <w:r w:rsidR="00FD303F">
              <w:rPr>
                <w:rFonts w:asciiTheme="majorHAnsi" w:hAnsiTheme="majorHAnsi" w:cstheme="minorHAnsi"/>
                <w:sz w:val="22"/>
              </w:rPr>
              <w:t xml:space="preserve">critical </w:t>
            </w:r>
            <w:r w:rsidRPr="00E53EA1">
              <w:rPr>
                <w:rFonts w:asciiTheme="majorHAnsi" w:hAnsiTheme="majorHAnsi" w:cstheme="minorHAnsi"/>
                <w:sz w:val="22"/>
              </w:rPr>
              <w:t>to the success of any taper regimen</w:t>
            </w:r>
            <w:r>
              <w:rPr>
                <w:rFonts w:asciiTheme="majorHAnsi" w:hAnsiTheme="majorHAnsi" w:cstheme="minorHAnsi"/>
                <w:sz w:val="22"/>
              </w:rPr>
              <w:t xml:space="preserve">. </w:t>
            </w:r>
            <w:r w:rsidR="001431FD">
              <w:rPr>
                <w:rFonts w:asciiTheme="majorHAnsi" w:hAnsiTheme="majorHAnsi" w:cstheme="minorHAnsi"/>
                <w:sz w:val="22"/>
              </w:rPr>
              <w:t>Management may include slowing the taper, providing as-needed medications for symptoms, or transition to buprenorphine-naloxone for a person with pain and an OUD</w:t>
            </w:r>
            <w:r>
              <w:rPr>
                <w:rFonts w:asciiTheme="majorHAnsi" w:hAnsiTheme="majorHAnsi" w:cstheme="minorHAnsi"/>
                <w:sz w:val="22"/>
              </w:rPr>
              <w:t>.</w:t>
            </w:r>
            <w:r w:rsidR="00416EA5">
              <w:rPr>
                <w:rFonts w:asciiTheme="majorHAnsi" w:hAnsiTheme="majorHAnsi" w:cstheme="minorHAnsi"/>
                <w:sz w:val="22"/>
              </w:rPr>
              <w:t xml:space="preserve"> Given the pharmacology of buprenorphine and its ceili</w:t>
            </w:r>
            <w:r w:rsidR="00BD669B">
              <w:rPr>
                <w:rFonts w:asciiTheme="majorHAnsi" w:hAnsiTheme="majorHAnsi" w:cstheme="minorHAnsi"/>
                <w:sz w:val="22"/>
              </w:rPr>
              <w:t>ng effect a</w:t>
            </w:r>
            <w:r w:rsidR="00416EA5">
              <w:rPr>
                <w:rFonts w:asciiTheme="majorHAnsi" w:hAnsiTheme="majorHAnsi" w:cstheme="minorHAnsi"/>
                <w:sz w:val="22"/>
              </w:rPr>
              <w:t xml:space="preserve">s a partial agonist at the opioid receptor as opposed to a full agonist, its risk profile makes it a safer alternative compared to full agonists, particularly for patients with long-term, high-dose opioid use. </w:t>
            </w:r>
            <w:r w:rsidR="00EA31DD">
              <w:rPr>
                <w:rFonts w:asciiTheme="majorHAnsi" w:hAnsiTheme="majorHAnsi" w:cstheme="minorHAnsi"/>
                <w:sz w:val="22"/>
              </w:rPr>
              <w:t>Most importantl</w:t>
            </w:r>
            <w:r w:rsidR="00EA31DD">
              <w:rPr>
                <w:sz w:val="22"/>
              </w:rPr>
              <w:t>y</w:t>
            </w:r>
            <w:r w:rsidR="00EA31DD">
              <w:rPr>
                <w:rFonts w:asciiTheme="majorHAnsi" w:hAnsiTheme="majorHAnsi" w:cstheme="minorHAnsi"/>
                <w:sz w:val="22"/>
              </w:rPr>
              <w:t xml:space="preserve"> f</w:t>
            </w:r>
            <w:r w:rsidR="00EA31DD">
              <w:rPr>
                <w:sz w:val="22"/>
              </w:rPr>
              <w:t>or</w:t>
            </w:r>
            <w:r w:rsidR="00EA31DD">
              <w:rPr>
                <w:rFonts w:asciiTheme="majorHAnsi" w:hAnsiTheme="majorHAnsi" w:cstheme="minorHAnsi"/>
                <w:sz w:val="22"/>
              </w:rPr>
              <w:t xml:space="preserve"> patients, observational evidence indicates that pain control is improved among patients with chronic pain who transition from high-dose opioids to buprenorphine.</w:t>
            </w:r>
          </w:p>
          <w:p w14:paraId="32732777" w14:textId="57A5481B" w:rsidR="00E53EA1" w:rsidRDefault="00E53EA1" w:rsidP="00F97B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E53EA1">
              <w:rPr>
                <w:rFonts w:asciiTheme="majorHAnsi" w:hAnsiTheme="majorHAnsi" w:cstheme="minorHAnsi"/>
                <w:sz w:val="22"/>
              </w:rPr>
              <w:t xml:space="preserve">The goal is to </w:t>
            </w:r>
            <w:r w:rsidR="00DF1F4F">
              <w:rPr>
                <w:rFonts w:asciiTheme="majorHAnsi" w:hAnsiTheme="majorHAnsi" w:cstheme="minorHAnsi"/>
                <w:sz w:val="22"/>
              </w:rPr>
              <w:t xml:space="preserve">minimize risk and maximize benefit for individual patients. While striving to </w:t>
            </w:r>
            <w:r w:rsidR="000F03CC">
              <w:rPr>
                <w:rFonts w:asciiTheme="majorHAnsi" w:hAnsiTheme="majorHAnsi" w:cstheme="minorHAnsi"/>
                <w:sz w:val="22"/>
              </w:rPr>
              <w:t xml:space="preserve">taper patients to &lt; 90 MME/day of opioids is reasonable, involuntary </w:t>
            </w:r>
            <w:r w:rsidR="00416EA5">
              <w:rPr>
                <w:rFonts w:asciiTheme="majorHAnsi" w:hAnsiTheme="majorHAnsi" w:cstheme="minorHAnsi"/>
                <w:sz w:val="22"/>
              </w:rPr>
              <w:t xml:space="preserve">and/or rapid </w:t>
            </w:r>
            <w:r w:rsidR="000F03CC">
              <w:rPr>
                <w:rFonts w:asciiTheme="majorHAnsi" w:hAnsiTheme="majorHAnsi" w:cstheme="minorHAnsi"/>
                <w:sz w:val="22"/>
              </w:rPr>
              <w:t xml:space="preserve">tapers can lead to more harm than benefit, particularly when the individual circumstances of each case is not considered. Patients with a long history of high-dose opioids or with medical and/or psychiatric co-morbidities may be unable to be safely maintained at &lt; 90 MME/day of opioids. In these cases, the risk of medical and/or psychiatric decompensation, relapse or illicit drug use, </w:t>
            </w:r>
            <w:r w:rsidR="00FA3098">
              <w:rPr>
                <w:rFonts w:asciiTheme="majorHAnsi" w:hAnsiTheme="majorHAnsi" w:cstheme="minorHAnsi"/>
                <w:sz w:val="22"/>
              </w:rPr>
              <w:t xml:space="preserve">overdose, </w:t>
            </w:r>
            <w:r w:rsidR="00E42B74">
              <w:rPr>
                <w:rFonts w:asciiTheme="majorHAnsi" w:hAnsiTheme="majorHAnsi" w:cstheme="minorHAnsi"/>
                <w:sz w:val="22"/>
              </w:rPr>
              <w:t>and</w:t>
            </w:r>
            <w:r w:rsidR="000F03CC">
              <w:rPr>
                <w:rFonts w:asciiTheme="majorHAnsi" w:hAnsiTheme="majorHAnsi" w:cstheme="minorHAnsi"/>
                <w:sz w:val="22"/>
              </w:rPr>
              <w:t xml:space="preserve"> self-harm must be considered when determining </w:t>
            </w:r>
            <w:r w:rsidR="00416EA5">
              <w:rPr>
                <w:rFonts w:asciiTheme="majorHAnsi" w:hAnsiTheme="majorHAnsi" w:cstheme="minorHAnsi"/>
                <w:sz w:val="22"/>
              </w:rPr>
              <w:t>the best tapering approach and final stabilizing opioid dose.</w:t>
            </w:r>
            <w:r w:rsidRPr="00E53EA1">
              <w:rPr>
                <w:rFonts w:asciiTheme="majorHAnsi" w:hAnsiTheme="majorHAnsi" w:cstheme="minorHAnsi"/>
                <w:sz w:val="22"/>
              </w:rPr>
              <w:t xml:space="preserve"> </w:t>
            </w:r>
          </w:p>
          <w:p w14:paraId="1146E5FA" w14:textId="6D1A6C16" w:rsidR="005A293A" w:rsidRDefault="005A293A" w:rsidP="00F97B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Patients who are on a combination of benzodiazepines or other sedative-hyp</w:t>
            </w:r>
            <w:r w:rsidR="00E400E4">
              <w:rPr>
                <w:rFonts w:asciiTheme="majorHAnsi" w:hAnsiTheme="majorHAnsi" w:cstheme="minorHAnsi"/>
                <w:sz w:val="22"/>
              </w:rPr>
              <w:t>n</w:t>
            </w:r>
            <w:r>
              <w:rPr>
                <w:rFonts w:asciiTheme="majorHAnsi" w:hAnsiTheme="majorHAnsi" w:cstheme="minorHAnsi"/>
                <w:sz w:val="22"/>
              </w:rPr>
              <w:t xml:space="preserve">otics along with an opioid medication are at higher risk for an overdose and death.  Discussion with the patient 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and family </w:t>
            </w:r>
            <w:r>
              <w:rPr>
                <w:rFonts w:asciiTheme="majorHAnsi" w:hAnsiTheme="majorHAnsi" w:cstheme="minorHAnsi"/>
                <w:sz w:val="22"/>
              </w:rPr>
              <w:t>regarding the ongoing r</w:t>
            </w:r>
            <w:r w:rsidR="004166F6">
              <w:rPr>
                <w:rFonts w:asciiTheme="majorHAnsi" w:hAnsiTheme="majorHAnsi" w:cstheme="minorHAnsi"/>
                <w:sz w:val="22"/>
              </w:rPr>
              <w:t>isks and benefits is paramount. Tapering of either the opioid or sedative-hypnotic</w:t>
            </w:r>
            <w:r w:rsidR="00F80996">
              <w:rPr>
                <w:rFonts w:asciiTheme="majorHAnsi" w:hAnsiTheme="majorHAnsi" w:cstheme="minorHAnsi"/>
                <w:sz w:val="22"/>
              </w:rPr>
              <w:t xml:space="preserve"> to the lowest effective dose</w:t>
            </w:r>
            <w:r w:rsidR="004166F6">
              <w:rPr>
                <w:rFonts w:asciiTheme="majorHAnsi" w:hAnsiTheme="majorHAnsi" w:cstheme="minorHAnsi"/>
                <w:sz w:val="22"/>
              </w:rPr>
              <w:t xml:space="preserve"> in a safe, voluntary manner is recommended.  </w:t>
            </w:r>
          </w:p>
          <w:p w14:paraId="3C35B848" w14:textId="753E4CAF" w:rsidR="00E53EA1" w:rsidRPr="00E53EA1" w:rsidRDefault="00E53EA1" w:rsidP="00F97B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E53EA1">
              <w:rPr>
                <w:rFonts w:asciiTheme="majorHAnsi" w:hAnsiTheme="majorHAnsi" w:cstheme="minorHAnsi"/>
                <w:sz w:val="22"/>
              </w:rPr>
              <w:t>Strongly consider safely tapering down</w:t>
            </w:r>
            <w:r w:rsidR="000F03CC">
              <w:rPr>
                <w:rFonts w:asciiTheme="majorHAnsi" w:hAnsiTheme="majorHAnsi" w:cstheme="minorHAnsi"/>
                <w:sz w:val="22"/>
              </w:rPr>
              <w:t xml:space="preserve"> or transitioning patients from full agonist opioids to the partial agonist buprenorphine if</w:t>
            </w:r>
            <w:r w:rsidR="000F03CC" w:rsidRPr="00E53EA1"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E53EA1">
              <w:rPr>
                <w:rFonts w:asciiTheme="majorHAnsi" w:hAnsiTheme="majorHAnsi" w:cstheme="minorHAnsi"/>
                <w:sz w:val="22"/>
              </w:rPr>
              <w:t>the patient:</w:t>
            </w:r>
          </w:p>
          <w:p w14:paraId="2A518AB6" w14:textId="77777777" w:rsidR="00E53EA1" w:rsidRDefault="00E53EA1" w:rsidP="00F97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E53EA1">
              <w:rPr>
                <w:rFonts w:asciiTheme="majorHAnsi" w:hAnsiTheme="majorHAnsi" w:cstheme="minorHAnsi"/>
                <w:sz w:val="22"/>
              </w:rPr>
              <w:t>Experiences overdose or another serious adverse event</w:t>
            </w:r>
          </w:p>
          <w:p w14:paraId="68C2168B" w14:textId="1B4618F5" w:rsidR="002E5DFE" w:rsidRDefault="00E53EA1" w:rsidP="00F97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E53EA1">
              <w:rPr>
                <w:rFonts w:asciiTheme="majorHAnsi" w:hAnsiTheme="majorHAnsi" w:cstheme="minorHAnsi"/>
                <w:sz w:val="22"/>
              </w:rPr>
              <w:t>Has or exhibits other risk factors for overdose</w:t>
            </w:r>
          </w:p>
          <w:p w14:paraId="15431F7E" w14:textId="2495ECB0" w:rsidR="00D844C1" w:rsidRPr="00F97B8B" w:rsidRDefault="00EA31DD" w:rsidP="00F97B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lastRenderedPageBreak/>
              <w:t>Has a concomitant opioid use disorder</w:t>
            </w:r>
          </w:p>
        </w:tc>
      </w:tr>
    </w:tbl>
    <w:p w14:paraId="0799F189" w14:textId="77777777" w:rsidR="00E53EA1" w:rsidRDefault="00E53EA1" w:rsidP="00E53EA1">
      <w:pPr>
        <w:spacing w:after="0" w:line="240" w:lineRule="auto"/>
        <w:rPr>
          <w:rFonts w:asciiTheme="majorHAnsi" w:hAnsiTheme="majorHAnsi"/>
          <w:szCs w:val="20"/>
        </w:rPr>
      </w:pPr>
    </w:p>
    <w:p w14:paraId="37D3D01D" w14:textId="77777777" w:rsidR="00E53EA1" w:rsidRPr="0001755A" w:rsidRDefault="00E53EA1" w:rsidP="0001755A">
      <w:p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b/>
          <w:sz w:val="19"/>
          <w:szCs w:val="19"/>
        </w:rPr>
        <w:t>References/Resources</w:t>
      </w:r>
    </w:p>
    <w:p w14:paraId="128A6560" w14:textId="5F836C5B" w:rsidR="00EA31DD" w:rsidRPr="0001755A" w:rsidRDefault="00EA31DD" w:rsidP="0001755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Sample Tapering Guidelines:</w:t>
      </w:r>
    </w:p>
    <w:p w14:paraId="68719E3B" w14:textId="41F994A4" w:rsidR="00EA31DD" w:rsidRPr="0001755A" w:rsidRDefault="00EA31DD" w:rsidP="0001755A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Style w:val="Hyperlink"/>
          <w:rFonts w:asciiTheme="majorHAnsi" w:hAnsiTheme="majorHAnsi" w:cstheme="minorHAnsi"/>
          <w:color w:val="auto"/>
          <w:sz w:val="19"/>
          <w:szCs w:val="19"/>
          <w:u w:val="none"/>
        </w:rPr>
      </w:pPr>
      <w:r w:rsidRPr="0001755A">
        <w:rPr>
          <w:rFonts w:asciiTheme="majorHAnsi" w:hAnsiTheme="majorHAnsi" w:cstheme="minorHAnsi"/>
          <w:sz w:val="19"/>
          <w:szCs w:val="19"/>
        </w:rPr>
        <w:t>CDC</w:t>
      </w:r>
      <w:r w:rsidR="00205D82" w:rsidRPr="0001755A">
        <w:rPr>
          <w:rFonts w:asciiTheme="majorHAnsi" w:hAnsiTheme="majorHAnsi" w:cstheme="minorHAnsi"/>
          <w:sz w:val="19"/>
          <w:szCs w:val="19"/>
        </w:rPr>
        <w:t xml:space="preserve"> Pocket Guide</w:t>
      </w:r>
      <w:r w:rsidRPr="0001755A">
        <w:rPr>
          <w:rFonts w:asciiTheme="majorHAnsi" w:hAnsiTheme="majorHAnsi" w:cstheme="minorHAnsi"/>
          <w:sz w:val="19"/>
          <w:szCs w:val="19"/>
        </w:rPr>
        <w:t xml:space="preserve">:   </w:t>
      </w:r>
      <w:hyperlink r:id="rId35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https://www.cdc.gov/drugoverdose/pdf/clinical_pocket_guide_tapering-a.pdf</w:t>
        </w:r>
      </w:hyperlink>
    </w:p>
    <w:p w14:paraId="773F4E1F" w14:textId="34D2B4B2" w:rsidR="00EA31DD" w:rsidRPr="0001755A" w:rsidRDefault="00EA31DD" w:rsidP="0001755A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Style w:val="Hyperlink"/>
          <w:rFonts w:asciiTheme="majorHAnsi" w:hAnsiTheme="majorHAnsi" w:cstheme="minorHAnsi"/>
          <w:color w:val="auto"/>
          <w:sz w:val="19"/>
          <w:szCs w:val="19"/>
          <w:u w:val="none"/>
        </w:rPr>
      </w:pPr>
      <w:r w:rsidRPr="0001755A">
        <w:rPr>
          <w:rFonts w:asciiTheme="majorHAnsi" w:hAnsiTheme="majorHAnsi" w:cstheme="minorHAnsi"/>
          <w:sz w:val="19"/>
          <w:szCs w:val="19"/>
        </w:rPr>
        <w:t>Veteran Affairs (VA)</w:t>
      </w:r>
      <w:r w:rsidR="00CD3F2B" w:rsidRPr="0001755A">
        <w:rPr>
          <w:rFonts w:asciiTheme="majorHAnsi" w:hAnsiTheme="majorHAnsi" w:cstheme="minorHAnsi"/>
          <w:sz w:val="19"/>
          <w:szCs w:val="19"/>
        </w:rPr>
        <w:t xml:space="preserve"> Opioid Taper Decision Tool</w:t>
      </w:r>
      <w:r w:rsidRPr="0001755A">
        <w:rPr>
          <w:rFonts w:asciiTheme="majorHAnsi" w:hAnsiTheme="majorHAnsi" w:cstheme="minorHAnsi"/>
          <w:sz w:val="19"/>
          <w:szCs w:val="19"/>
        </w:rPr>
        <w:t xml:space="preserve">: </w:t>
      </w:r>
      <w:hyperlink r:id="rId36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https://www.pbm.va.gov/AcademicDetailingService/Documents/Pain_Opioid_Taper_Tool_IB_10_939_P96820.pdf</w:t>
        </w:r>
      </w:hyperlink>
    </w:p>
    <w:p w14:paraId="62DAF6ED" w14:textId="3C777AF8" w:rsidR="00CD3F2B" w:rsidRPr="0001755A" w:rsidRDefault="00EA31DD" w:rsidP="0001755A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Oregon</w:t>
      </w:r>
      <w:r w:rsidR="00CD3F2B" w:rsidRPr="0001755A">
        <w:rPr>
          <w:rFonts w:asciiTheme="majorHAnsi" w:hAnsiTheme="majorHAnsi" w:cstheme="minorHAnsi"/>
          <w:sz w:val="19"/>
          <w:szCs w:val="19"/>
        </w:rPr>
        <w:t xml:space="preserve"> Pain Guidance Tapering Flow Sheet</w:t>
      </w:r>
      <w:r w:rsidRPr="0001755A">
        <w:rPr>
          <w:rFonts w:asciiTheme="majorHAnsi" w:hAnsiTheme="majorHAnsi" w:cstheme="minorHAnsi"/>
          <w:sz w:val="19"/>
          <w:szCs w:val="19"/>
        </w:rPr>
        <w:t xml:space="preserve">:  </w:t>
      </w:r>
      <w:hyperlink r:id="rId37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https://www.oregonpainguidance.org/app/content/uploads/2016/05/Opioid-and-Benzodiazepine-Tapering-flow-sheets.pdf</w:t>
        </w:r>
      </w:hyperlink>
    </w:p>
    <w:p w14:paraId="3F4174A1" w14:textId="584A97E0" w:rsidR="00CD3F2B" w:rsidRPr="0001755A" w:rsidRDefault="00CD3F2B" w:rsidP="0001755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19"/>
          <w:szCs w:val="19"/>
        </w:rPr>
      </w:pP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Daitch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D,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Daitch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J,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Novinson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D, Frey M, Mitnick C,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Pergolizzi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J Jr. Conversion from high-dose full-opioid agonists to sublingual buprenorphine reduces pain scores and improves quality of life for chronic pain patients. Pain Med. 2014 Dec;15(12):2087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94. </w:t>
      </w:r>
      <w:hyperlink r:id="rId38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10.1111/pme.12520</w:t>
        </w:r>
      </w:hyperlink>
    </w:p>
    <w:p w14:paraId="3E390E82" w14:textId="014EE4C1" w:rsidR="00CD3F2B" w:rsidRPr="0001755A" w:rsidRDefault="00CD3F2B" w:rsidP="0001755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19"/>
          <w:szCs w:val="19"/>
        </w:rPr>
      </w:pP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Pade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PA, Cardon KE, Hoffman RM,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Geppert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CM. Prescription opioid abuse, chronic pain, and primary care: a </w:t>
      </w:r>
      <w:r w:rsidR="003F2B5C" w:rsidRPr="0001755A">
        <w:rPr>
          <w:rFonts w:asciiTheme="majorHAnsi" w:eastAsia="Times New Roman" w:hAnsiTheme="majorHAnsi" w:cs="Times New Roman"/>
          <w:sz w:val="19"/>
          <w:szCs w:val="19"/>
        </w:rPr>
        <w:t>c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o-occurring </w:t>
      </w:r>
      <w:r w:rsidR="003F2B5C" w:rsidRPr="0001755A">
        <w:rPr>
          <w:rFonts w:asciiTheme="majorHAnsi" w:eastAsia="Times New Roman" w:hAnsiTheme="majorHAnsi" w:cs="Times New Roman"/>
          <w:sz w:val="19"/>
          <w:szCs w:val="19"/>
        </w:rPr>
        <w:t>d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isorders </w:t>
      </w:r>
      <w:r w:rsidR="003F2B5C" w:rsidRPr="0001755A">
        <w:rPr>
          <w:rFonts w:asciiTheme="majorHAnsi" w:eastAsia="Times New Roman" w:hAnsiTheme="majorHAnsi" w:cs="Times New Roman"/>
          <w:sz w:val="19"/>
          <w:szCs w:val="19"/>
        </w:rPr>
        <w:t>c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linic in the chronic disease model. J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Subst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Abuse Treat. 2012 Dec;43(4):446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50. </w:t>
      </w:r>
      <w:hyperlink r:id="rId39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10.1016/j.jsat.2012.08.010</w:t>
        </w:r>
      </w:hyperlink>
    </w:p>
    <w:p w14:paraId="79E1CDCE" w14:textId="0C92287D" w:rsidR="00CD3F2B" w:rsidRPr="0001755A" w:rsidRDefault="00CD3F2B" w:rsidP="0001755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Fox AD,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Sohler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NL,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Starrels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JL, Ning Y,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Giovanniello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A, Cunningham CO. Pain is not associated with worse office-based buprenorphine treatment outcomes.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Subst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Abus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>. 2012;33(4):361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5. </w:t>
      </w:r>
      <w:hyperlink r:id="rId40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10.1080/08897077.2011.638734</w:t>
        </w:r>
      </w:hyperlink>
    </w:p>
    <w:p w14:paraId="25E96A3E" w14:textId="749A461A" w:rsidR="007B7CF2" w:rsidRPr="0001755A" w:rsidRDefault="00CD3F2B" w:rsidP="0001755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Style w:val="Hyperlink"/>
          <w:rFonts w:asciiTheme="majorHAnsi" w:eastAsia="Times New Roman" w:hAnsiTheme="majorHAnsi" w:cs="Times New Roman"/>
          <w:color w:val="auto"/>
          <w:sz w:val="19"/>
          <w:szCs w:val="19"/>
          <w:u w:val="none"/>
        </w:rPr>
      </w:pP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Malinoff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HL,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Barkin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 RL, Wilson G. Sublingual buprenorphine is effective in the treatment of chronic pain syndrome. Am J </w:t>
      </w:r>
      <w:proofErr w:type="spellStart"/>
      <w:r w:rsidRPr="0001755A">
        <w:rPr>
          <w:rFonts w:asciiTheme="majorHAnsi" w:eastAsia="Times New Roman" w:hAnsiTheme="majorHAnsi" w:cs="Times New Roman"/>
          <w:sz w:val="19"/>
          <w:szCs w:val="19"/>
        </w:rPr>
        <w:t>Ther</w:t>
      </w:r>
      <w:proofErr w:type="spellEnd"/>
      <w:r w:rsidRPr="0001755A">
        <w:rPr>
          <w:rFonts w:asciiTheme="majorHAnsi" w:eastAsia="Times New Roman" w:hAnsiTheme="majorHAnsi" w:cs="Times New Roman"/>
          <w:sz w:val="19"/>
          <w:szCs w:val="19"/>
        </w:rPr>
        <w:t>. 2005 Sep-Oct;12(5):379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84. </w:t>
      </w:r>
      <w:hyperlink r:id="rId41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https://dx.doi.org/</w:t>
        </w:r>
        <w:r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10.1097/01.mjt.0000160935.62883.ff</w:t>
        </w:r>
      </w:hyperlink>
    </w:p>
    <w:p w14:paraId="1FDD9BB5" w14:textId="77777777" w:rsidR="0001755A" w:rsidRPr="009E574B" w:rsidRDefault="0001755A" w:rsidP="0001755A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Cs w:val="20"/>
        </w:rPr>
      </w:pPr>
    </w:p>
    <w:p w14:paraId="5477A0AC" w14:textId="2324FE2D" w:rsidR="00C11EDA" w:rsidRPr="00FD303F" w:rsidRDefault="00317B0C" w:rsidP="0001755A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5C772D" w14:textId="5F6202F7" w:rsidR="00763684" w:rsidRDefault="00763684" w:rsidP="00BD669B">
      <w:pPr>
        <w:spacing w:after="0" w:line="240" w:lineRule="auto"/>
        <w:rPr>
          <w:rFonts w:asciiTheme="majorHAnsi" w:hAnsiTheme="majorHAnsi"/>
          <w:b/>
          <w:color w:val="948A54" w:themeColor="background2" w:themeShade="80"/>
          <w:sz w:val="24"/>
          <w:szCs w:val="24"/>
        </w:rPr>
      </w:pPr>
    </w:p>
    <w:p w14:paraId="4E18B7DD" w14:textId="255275F9" w:rsidR="001C46A0" w:rsidRDefault="001C46A0" w:rsidP="00BD669B">
      <w:pPr>
        <w:spacing w:after="0" w:line="240" w:lineRule="auto"/>
        <w:rPr>
          <w:rFonts w:asciiTheme="majorHAnsi" w:hAnsiTheme="majorHAnsi"/>
          <w:b/>
          <w:color w:val="948A54" w:themeColor="background2" w:themeShade="80"/>
          <w:sz w:val="24"/>
          <w:szCs w:val="24"/>
        </w:rPr>
      </w:pPr>
    </w:p>
    <w:p w14:paraId="67849F61" w14:textId="77777777" w:rsidR="001C46A0" w:rsidRDefault="001C46A0" w:rsidP="00BD669B">
      <w:pPr>
        <w:spacing w:after="0" w:line="240" w:lineRule="auto"/>
        <w:rPr>
          <w:rFonts w:asciiTheme="majorHAnsi" w:hAnsiTheme="majorHAnsi"/>
          <w:b/>
          <w:color w:val="948A54" w:themeColor="background2" w:themeShade="80"/>
          <w:sz w:val="24"/>
          <w:szCs w:val="24"/>
        </w:rPr>
      </w:pPr>
    </w:p>
    <w:p w14:paraId="4908F880" w14:textId="1AE6D3EA" w:rsidR="00317B0C" w:rsidRPr="00523454" w:rsidRDefault="00037995" w:rsidP="00317B0C">
      <w:pPr>
        <w:spacing w:after="0" w:line="240" w:lineRule="auto"/>
        <w:jc w:val="center"/>
        <w:rPr>
          <w:rFonts w:asciiTheme="majorHAnsi" w:hAnsiTheme="majorHAnsi"/>
          <w:b/>
          <w:color w:val="948A54" w:themeColor="background2" w:themeShade="80"/>
          <w:sz w:val="24"/>
          <w:szCs w:val="24"/>
        </w:rPr>
      </w:pPr>
      <w:r w:rsidRPr="00523454">
        <w:rPr>
          <w:rFonts w:asciiTheme="majorHAnsi" w:hAnsiTheme="majorHAnsi"/>
          <w:b/>
          <w:color w:val="948A54" w:themeColor="background2" w:themeShade="80"/>
          <w:sz w:val="24"/>
          <w:szCs w:val="24"/>
        </w:rPr>
        <w:t>FOCUS AREA #5</w:t>
      </w:r>
      <w:r w:rsidR="00317B0C" w:rsidRPr="00523454">
        <w:rPr>
          <w:rFonts w:asciiTheme="majorHAnsi" w:hAnsiTheme="majorHAnsi"/>
          <w:b/>
          <w:color w:val="948A54" w:themeColor="background2" w:themeShade="80"/>
          <w:sz w:val="24"/>
          <w:szCs w:val="24"/>
        </w:rPr>
        <w:t xml:space="preserve"> – CONCURRENT DRUG AND ALCOHOL USE</w:t>
      </w:r>
    </w:p>
    <w:p w14:paraId="78321CD0" w14:textId="77777777" w:rsidR="00317B0C" w:rsidRPr="004D14E4" w:rsidRDefault="00317B0C" w:rsidP="00317B0C">
      <w:pPr>
        <w:spacing w:after="0" w:line="240" w:lineRule="auto"/>
        <w:rPr>
          <w:rFonts w:asciiTheme="majorHAnsi" w:hAnsiTheme="maj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11879"/>
      </w:tblGrid>
      <w:tr w:rsidR="00317B0C" w14:paraId="7920FBA3" w14:textId="77777777" w:rsidTr="00523454">
        <w:trPr>
          <w:trHeight w:val="260"/>
          <w:tblHeader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B8B808"/>
            <w:vAlign w:val="center"/>
          </w:tcPr>
          <w:p w14:paraId="3588615B" w14:textId="77777777" w:rsidR="00317B0C" w:rsidRPr="00317B0C" w:rsidRDefault="00317B0C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 xml:space="preserve">FOCUS AREA </w:t>
            </w:r>
          </w:p>
        </w:tc>
        <w:tc>
          <w:tcPr>
            <w:tcW w:w="12078" w:type="dxa"/>
            <w:shd w:val="clear" w:color="auto" w:fill="B8B808"/>
            <w:vAlign w:val="center"/>
          </w:tcPr>
          <w:p w14:paraId="4C0BBB65" w14:textId="77777777" w:rsidR="00317B0C" w:rsidRPr="00317B0C" w:rsidRDefault="00317B0C" w:rsidP="00E53E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RECOMMENDATIONS</w:t>
            </w:r>
          </w:p>
        </w:tc>
      </w:tr>
      <w:tr w:rsidR="00317B0C" w14:paraId="56DEA6EE" w14:textId="77777777" w:rsidTr="00E42B74">
        <w:trPr>
          <w:trHeight w:val="1160"/>
        </w:trPr>
        <w:tc>
          <w:tcPr>
            <w:tcW w:w="2538" w:type="dxa"/>
            <w:shd w:val="clear" w:color="auto" w:fill="E6E6E6"/>
            <w:vAlign w:val="center"/>
          </w:tcPr>
          <w:p w14:paraId="3E2BD139" w14:textId="7872D46B" w:rsidR="00254E3C" w:rsidRPr="0001755A" w:rsidRDefault="00254E3C" w:rsidP="0060102A">
            <w:pPr>
              <w:spacing w:before="40" w:after="0" w:line="240" w:lineRule="auto"/>
              <w:rPr>
                <w:rFonts w:asciiTheme="majorHAnsi" w:hAnsiTheme="majorHAnsi" w:cstheme="minorHAnsi"/>
                <w:b/>
                <w:sz w:val="22"/>
              </w:rPr>
            </w:pPr>
            <w:r w:rsidRPr="0001755A">
              <w:rPr>
                <w:rFonts w:asciiTheme="majorHAnsi" w:hAnsiTheme="majorHAnsi" w:cstheme="minorHAnsi"/>
                <w:b/>
                <w:sz w:val="22"/>
              </w:rPr>
              <w:t xml:space="preserve">Avoid combining opioids with drugs and alcohol due to </w:t>
            </w:r>
            <w:r w:rsidR="00C3493B" w:rsidRPr="0001755A">
              <w:rPr>
                <w:rFonts w:asciiTheme="majorHAnsi" w:eastAsia="Times New Roman" w:hAnsiTheme="majorHAnsi" w:cstheme="minorHAnsi"/>
                <w:b/>
                <w:sz w:val="22"/>
              </w:rPr>
              <w:t>higher risk of overdose and death.</w:t>
            </w:r>
            <w:r w:rsidR="00A63FE8" w:rsidRPr="0001755A">
              <w:rPr>
                <w:rFonts w:asciiTheme="majorHAnsi" w:hAnsiTheme="majorHAnsi" w:cstheme="minorHAnsi"/>
                <w:b/>
                <w:sz w:val="22"/>
              </w:rPr>
              <w:t xml:space="preserve"> </w:t>
            </w:r>
          </w:p>
          <w:p w14:paraId="3753A66B" w14:textId="77777777" w:rsidR="00317B0C" w:rsidRPr="00317B0C" w:rsidRDefault="00317B0C" w:rsidP="00934A37">
            <w:pPr>
              <w:spacing w:before="40"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2078" w:type="dxa"/>
          </w:tcPr>
          <w:p w14:paraId="3CB480BC" w14:textId="1CB7D41B" w:rsidR="00F35487" w:rsidRPr="007A7603" w:rsidRDefault="00B62C0E" w:rsidP="00F97B8B">
            <w:pPr>
              <w:pStyle w:val="ListParagraph"/>
              <w:numPr>
                <w:ilvl w:val="0"/>
                <w:numId w:val="20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Carefully consider the</w:t>
            </w:r>
            <w:r w:rsidR="008B144D">
              <w:rPr>
                <w:rFonts w:asciiTheme="majorHAnsi" w:hAnsiTheme="majorHAnsi" w:cstheme="minorHAnsi"/>
                <w:sz w:val="22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</w:rPr>
              <w:t>u</w:t>
            </w:r>
            <w:r w:rsidR="000A5EB6">
              <w:rPr>
                <w:rFonts w:asciiTheme="majorHAnsi" w:hAnsiTheme="majorHAnsi" w:cstheme="minorHAnsi"/>
                <w:sz w:val="22"/>
              </w:rPr>
              <w:t>se of opioid medications in individuals with a h</w:t>
            </w:r>
            <w:r w:rsidR="00317B0C" w:rsidRPr="00E53EA1">
              <w:rPr>
                <w:rFonts w:asciiTheme="majorHAnsi" w:hAnsiTheme="majorHAnsi" w:cstheme="minorHAnsi"/>
                <w:sz w:val="22"/>
              </w:rPr>
              <w:t xml:space="preserve">istory </w:t>
            </w:r>
            <w:r w:rsidR="00317B0C" w:rsidRPr="00C42446">
              <w:rPr>
                <w:rFonts w:asciiTheme="majorHAnsi" w:hAnsiTheme="majorHAnsi" w:cstheme="minorHAnsi"/>
                <w:sz w:val="22"/>
              </w:rPr>
              <w:t>of illicit drug</w:t>
            </w:r>
            <w:r>
              <w:rPr>
                <w:rFonts w:asciiTheme="majorHAnsi" w:hAnsiTheme="majorHAnsi" w:cstheme="minorHAnsi"/>
                <w:sz w:val="22"/>
              </w:rPr>
              <w:t>, cannabinoids,</w:t>
            </w:r>
            <w:r w:rsidR="00317B0C" w:rsidRPr="00C42446">
              <w:rPr>
                <w:rFonts w:asciiTheme="majorHAnsi" w:hAnsiTheme="majorHAnsi" w:cstheme="minorHAnsi"/>
                <w:sz w:val="22"/>
              </w:rPr>
              <w:t xml:space="preserve"> and/or </w:t>
            </w:r>
            <w:r w:rsidR="00317B0C" w:rsidRPr="00C42446">
              <w:rPr>
                <w:rFonts w:asciiTheme="majorHAnsi" w:hAnsiTheme="majorHAnsi" w:cstheme="minorHAnsi"/>
                <w:color w:val="000000"/>
                <w:sz w:val="22"/>
              </w:rPr>
              <w:t>alcohol</w:t>
            </w:r>
            <w:r>
              <w:rPr>
                <w:rFonts w:asciiTheme="majorHAnsi" w:hAnsiTheme="majorHAnsi" w:cstheme="minorHAnsi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Theme="majorHAnsi" w:hAnsiTheme="majorHAnsi" w:cstheme="minorHAnsi"/>
                <w:color w:val="000000"/>
                <w:sz w:val="22"/>
              </w:rPr>
              <w:t>use</w:t>
            </w:r>
            <w:r w:rsidR="00A3023A">
              <w:rPr>
                <w:rFonts w:asciiTheme="majorHAnsi" w:hAnsiTheme="majorHAnsi" w:cstheme="minorHAnsi"/>
                <w:sz w:val="22"/>
              </w:rPr>
              <w:t>.</w:t>
            </w:r>
            <w:r w:rsidR="007A7603">
              <w:rPr>
                <w:rFonts w:asciiTheme="majorHAnsi" w:hAnsiTheme="majorHAnsi" w:cstheme="minorHAnsi"/>
                <w:sz w:val="22"/>
              </w:rPr>
              <w:t>*</w:t>
            </w:r>
            <w:proofErr w:type="gramEnd"/>
            <w:r w:rsidR="002326A2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A3023A">
              <w:rPr>
                <w:rFonts w:asciiTheme="majorHAnsi" w:hAnsiTheme="majorHAnsi" w:cstheme="minorHAnsi"/>
                <w:sz w:val="22"/>
              </w:rPr>
              <w:t>The risk of overdose and development of an opioid use disorder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 (OUD)</w:t>
            </w:r>
            <w:r w:rsidR="00A3023A">
              <w:rPr>
                <w:rFonts w:asciiTheme="majorHAnsi" w:hAnsiTheme="majorHAnsi" w:cstheme="minorHAnsi"/>
                <w:sz w:val="22"/>
              </w:rPr>
              <w:t xml:space="preserve"> is higher</w:t>
            </w:r>
            <w:r w:rsidR="00BD669B">
              <w:rPr>
                <w:rFonts w:asciiTheme="majorHAnsi" w:hAnsiTheme="majorHAnsi" w:cstheme="minorHAnsi"/>
                <w:sz w:val="22"/>
              </w:rPr>
              <w:t xml:space="preserve"> in these cases,</w:t>
            </w:r>
            <w:r w:rsidR="00A3023A">
              <w:rPr>
                <w:rFonts w:asciiTheme="majorHAnsi" w:hAnsiTheme="majorHAnsi" w:cstheme="minorHAnsi"/>
                <w:sz w:val="22"/>
              </w:rPr>
              <w:t xml:space="preserve"> and therefore the provider should </w:t>
            </w:r>
            <w:r w:rsidR="00BD669B">
              <w:rPr>
                <w:rFonts w:asciiTheme="majorHAnsi" w:hAnsiTheme="majorHAnsi" w:cstheme="minorHAnsi"/>
                <w:sz w:val="22"/>
              </w:rPr>
              <w:t xml:space="preserve">carefully </w:t>
            </w:r>
            <w:r w:rsidR="00A3023A">
              <w:rPr>
                <w:rFonts w:asciiTheme="majorHAnsi" w:hAnsiTheme="majorHAnsi" w:cstheme="minorHAnsi"/>
                <w:sz w:val="22"/>
              </w:rPr>
              <w:t xml:space="preserve">evaluate the use of opioids </w:t>
            </w:r>
            <w:r w:rsidR="00A3023A" w:rsidRPr="003762B1">
              <w:rPr>
                <w:rFonts w:asciiTheme="majorHAnsi" w:hAnsiTheme="majorHAnsi"/>
                <w:sz w:val="22"/>
              </w:rPr>
              <w:t xml:space="preserve">to justify </w:t>
            </w:r>
            <w:r w:rsidR="00A3023A">
              <w:rPr>
                <w:rFonts w:asciiTheme="majorHAnsi" w:hAnsiTheme="majorHAnsi"/>
                <w:sz w:val="22"/>
              </w:rPr>
              <w:t xml:space="preserve">that the </w:t>
            </w:r>
            <w:r w:rsidR="00A3023A" w:rsidRPr="003762B1">
              <w:rPr>
                <w:rFonts w:asciiTheme="majorHAnsi" w:hAnsiTheme="majorHAnsi"/>
                <w:sz w:val="22"/>
              </w:rPr>
              <w:t>benefit</w:t>
            </w:r>
            <w:r w:rsidR="00A3023A">
              <w:rPr>
                <w:rFonts w:asciiTheme="majorHAnsi" w:hAnsiTheme="majorHAnsi"/>
                <w:sz w:val="22"/>
              </w:rPr>
              <w:t>s</w:t>
            </w:r>
            <w:r w:rsidR="00A3023A" w:rsidRPr="003762B1">
              <w:rPr>
                <w:rFonts w:asciiTheme="majorHAnsi" w:hAnsiTheme="majorHAnsi"/>
                <w:sz w:val="22"/>
              </w:rPr>
              <w:t xml:space="preserve"> </w:t>
            </w:r>
            <w:r w:rsidR="00C3493B">
              <w:rPr>
                <w:rFonts w:asciiTheme="majorHAnsi" w:hAnsiTheme="majorHAnsi"/>
                <w:sz w:val="22"/>
              </w:rPr>
              <w:t>outweigh</w:t>
            </w:r>
            <w:r w:rsidR="00C3493B" w:rsidRPr="003762B1">
              <w:rPr>
                <w:rFonts w:asciiTheme="majorHAnsi" w:hAnsiTheme="majorHAnsi"/>
                <w:sz w:val="22"/>
              </w:rPr>
              <w:t xml:space="preserve"> </w:t>
            </w:r>
            <w:r w:rsidR="00F35487">
              <w:rPr>
                <w:rFonts w:asciiTheme="majorHAnsi" w:hAnsiTheme="majorHAnsi"/>
                <w:sz w:val="22"/>
              </w:rPr>
              <w:t xml:space="preserve">the </w:t>
            </w:r>
            <w:r w:rsidR="00A3023A" w:rsidRPr="003762B1">
              <w:rPr>
                <w:rFonts w:asciiTheme="majorHAnsi" w:hAnsiTheme="majorHAnsi"/>
                <w:sz w:val="22"/>
              </w:rPr>
              <w:t>risk</w:t>
            </w:r>
            <w:r w:rsidR="00A3023A">
              <w:rPr>
                <w:rFonts w:asciiTheme="majorHAnsi" w:hAnsiTheme="majorHAnsi"/>
                <w:sz w:val="22"/>
              </w:rPr>
              <w:t>s.</w:t>
            </w:r>
          </w:p>
          <w:p w14:paraId="76AD3A77" w14:textId="77777777" w:rsidR="00E42B74" w:rsidRDefault="007A7603" w:rsidP="00E42B74">
            <w:pPr>
              <w:pStyle w:val="ListParagraph"/>
              <w:spacing w:before="40" w:after="0" w:line="240" w:lineRule="auto"/>
              <w:ind w:left="450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bCs/>
                <w:sz w:val="22"/>
              </w:rPr>
              <w:t>*Importantly, substance use is not an indication for involuntary and/or rapid taper of a pat</w:t>
            </w:r>
            <w:r w:rsidR="00E42B74">
              <w:rPr>
                <w:rFonts w:asciiTheme="majorHAnsi" w:hAnsiTheme="majorHAnsi" w:cstheme="minorHAnsi"/>
                <w:bCs/>
                <w:sz w:val="22"/>
              </w:rPr>
              <w:t>ient with long-term opioid use.</w:t>
            </w:r>
          </w:p>
          <w:p w14:paraId="2EDFBF54" w14:textId="4C64F138" w:rsidR="00FD303F" w:rsidRPr="00E42B74" w:rsidRDefault="007A7603" w:rsidP="00E42B74">
            <w:pPr>
              <w:pStyle w:val="ListParagraph"/>
              <w:numPr>
                <w:ilvl w:val="0"/>
                <w:numId w:val="20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E42B74">
              <w:rPr>
                <w:rFonts w:asciiTheme="majorHAnsi" w:hAnsiTheme="majorHAnsi" w:cstheme="minorHAnsi"/>
                <w:bCs/>
                <w:sz w:val="22"/>
              </w:rPr>
              <w:t>While concurrent use of opioids and substances with depressant effects (e.g., alcohol, sedatives</w:t>
            </w:r>
            <w:r w:rsidR="002326A2" w:rsidRPr="00E42B74">
              <w:rPr>
                <w:rFonts w:asciiTheme="majorHAnsi" w:hAnsiTheme="majorHAnsi" w:cstheme="minorHAnsi"/>
                <w:bCs/>
                <w:sz w:val="22"/>
              </w:rPr>
              <w:t>, etc</w:t>
            </w:r>
            <w:r w:rsidR="009C7E27" w:rsidRPr="00E42B74">
              <w:rPr>
                <w:rFonts w:asciiTheme="majorHAnsi" w:hAnsiTheme="majorHAnsi" w:cstheme="minorHAnsi"/>
                <w:bCs/>
                <w:sz w:val="22"/>
              </w:rPr>
              <w:t>.</w:t>
            </w:r>
            <w:r w:rsidR="002326A2" w:rsidRPr="00E42B74">
              <w:rPr>
                <w:rFonts w:asciiTheme="majorHAnsi" w:hAnsiTheme="majorHAnsi" w:cstheme="minorHAnsi"/>
                <w:bCs/>
                <w:sz w:val="22"/>
              </w:rPr>
              <w:t>) does result in higher risk for overdose and death, involuntary and/or rapid tapers can also result in similar poor outcomes, and thus clinical decisions in these instances must balance overall risks and benefits in each individual case.</w:t>
            </w:r>
            <w:r w:rsidR="009C7E27" w:rsidRPr="00E42B74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B62C0E" w:rsidRPr="00E42B74">
              <w:rPr>
                <w:rFonts w:asciiTheme="majorHAnsi" w:hAnsiTheme="majorHAnsi" w:cstheme="minorHAnsi"/>
                <w:sz w:val="22"/>
              </w:rPr>
              <w:t xml:space="preserve">Opioids can be </w:t>
            </w:r>
            <w:r w:rsidR="00DE7BD0" w:rsidRPr="00E42B74">
              <w:rPr>
                <w:rFonts w:asciiTheme="majorHAnsi" w:hAnsiTheme="majorHAnsi" w:cstheme="minorHAnsi"/>
                <w:sz w:val="22"/>
              </w:rPr>
              <w:t xml:space="preserve">offered to </w:t>
            </w:r>
            <w:r w:rsidR="00B62C0E" w:rsidRPr="00E42B74">
              <w:rPr>
                <w:rFonts w:asciiTheme="majorHAnsi" w:hAnsiTheme="majorHAnsi" w:cstheme="minorHAnsi"/>
                <w:sz w:val="22"/>
              </w:rPr>
              <w:t xml:space="preserve">individuals who also use </w:t>
            </w:r>
            <w:r w:rsidR="00FD303F" w:rsidRPr="00E42B74">
              <w:rPr>
                <w:rFonts w:asciiTheme="majorHAnsi" w:hAnsiTheme="majorHAnsi" w:cstheme="minorHAnsi"/>
                <w:sz w:val="22"/>
              </w:rPr>
              <w:t>cannabinoids,</w:t>
            </w:r>
            <w:r w:rsidR="00B62C0E" w:rsidRPr="00E42B74">
              <w:rPr>
                <w:rFonts w:asciiTheme="majorHAnsi" w:hAnsiTheme="majorHAnsi" w:cstheme="minorHAnsi"/>
                <w:sz w:val="22"/>
              </w:rPr>
              <w:t xml:space="preserve"> but the </w:t>
            </w:r>
            <w:r w:rsidR="00DE7BD0" w:rsidRPr="00E42B74">
              <w:rPr>
                <w:rFonts w:asciiTheme="majorHAnsi" w:hAnsiTheme="majorHAnsi" w:cstheme="minorHAnsi"/>
                <w:sz w:val="22"/>
              </w:rPr>
              <w:t>concurrent</w:t>
            </w:r>
            <w:r w:rsidR="00C3493B" w:rsidRPr="00E42B74">
              <w:rPr>
                <w:rFonts w:asciiTheme="majorHAnsi" w:hAnsiTheme="majorHAnsi" w:cstheme="minorHAnsi"/>
                <w:sz w:val="22"/>
              </w:rPr>
              <w:t xml:space="preserve"> use</w:t>
            </w:r>
            <w:r w:rsidR="00B62C0E" w:rsidRPr="00E42B74">
              <w:rPr>
                <w:rFonts w:asciiTheme="majorHAnsi" w:hAnsiTheme="majorHAnsi" w:cstheme="minorHAnsi"/>
                <w:sz w:val="22"/>
              </w:rPr>
              <w:t xml:space="preserve"> of cannabis</w:t>
            </w:r>
            <w:r w:rsidR="00DE7BD0" w:rsidRPr="00E42B74">
              <w:rPr>
                <w:rFonts w:asciiTheme="majorHAnsi" w:hAnsiTheme="majorHAnsi" w:cstheme="minorHAnsi"/>
                <w:sz w:val="22"/>
              </w:rPr>
              <w:t xml:space="preserve"> and opioids is associated with </w:t>
            </w:r>
            <w:r w:rsidR="00773F41" w:rsidRPr="00E42B74">
              <w:rPr>
                <w:rFonts w:asciiTheme="majorHAnsi" w:hAnsiTheme="majorHAnsi" w:cstheme="minorHAnsi"/>
                <w:sz w:val="22"/>
              </w:rPr>
              <w:t>cognitive impairment</w:t>
            </w:r>
            <w:r w:rsidR="00DE7BD0" w:rsidRPr="00E42B74">
              <w:rPr>
                <w:rFonts w:asciiTheme="majorHAnsi" w:hAnsiTheme="majorHAnsi" w:cstheme="minorHAnsi"/>
                <w:sz w:val="22"/>
              </w:rPr>
              <w:t xml:space="preserve"> and other risks. </w:t>
            </w:r>
          </w:p>
          <w:p w14:paraId="6F597B5E" w14:textId="053AFC05" w:rsidR="00317B0C" w:rsidRPr="00FD303F" w:rsidRDefault="00DE7BD0" w:rsidP="00F97B8B">
            <w:pPr>
              <w:pStyle w:val="ListParagraph"/>
              <w:numPr>
                <w:ilvl w:val="0"/>
                <w:numId w:val="20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The r</w:t>
            </w:r>
            <w:r w:rsidR="00773F41">
              <w:rPr>
                <w:rFonts w:asciiTheme="majorHAnsi" w:hAnsiTheme="majorHAnsi" w:cstheme="minorHAnsi"/>
                <w:sz w:val="22"/>
              </w:rPr>
              <w:t>isks, benefits</w:t>
            </w:r>
            <w:r w:rsidR="00C3493B">
              <w:rPr>
                <w:rFonts w:asciiTheme="majorHAnsi" w:hAnsiTheme="majorHAnsi" w:cstheme="minorHAnsi"/>
                <w:sz w:val="22"/>
              </w:rPr>
              <w:t>,</w:t>
            </w:r>
            <w:r w:rsidR="00773F41">
              <w:rPr>
                <w:rFonts w:asciiTheme="majorHAnsi" w:hAnsiTheme="majorHAnsi" w:cstheme="minorHAnsi"/>
                <w:sz w:val="22"/>
              </w:rPr>
              <w:t xml:space="preserve"> and alternative therapies </w:t>
            </w:r>
            <w:r>
              <w:rPr>
                <w:rFonts w:asciiTheme="majorHAnsi" w:hAnsiTheme="majorHAnsi" w:cstheme="minorHAnsi"/>
                <w:sz w:val="22"/>
              </w:rPr>
              <w:t xml:space="preserve">for pain </w:t>
            </w:r>
            <w:r w:rsidR="00773F41">
              <w:rPr>
                <w:rFonts w:asciiTheme="majorHAnsi" w:hAnsiTheme="majorHAnsi" w:cstheme="minorHAnsi"/>
                <w:sz w:val="22"/>
              </w:rPr>
              <w:t xml:space="preserve">should be </w:t>
            </w:r>
            <w:r>
              <w:rPr>
                <w:rFonts w:asciiTheme="majorHAnsi" w:hAnsiTheme="majorHAnsi" w:cstheme="minorHAnsi"/>
                <w:sz w:val="22"/>
              </w:rPr>
              <w:t xml:space="preserve">reviewed </w:t>
            </w:r>
            <w:r w:rsidR="00773F41">
              <w:rPr>
                <w:rFonts w:asciiTheme="majorHAnsi" w:hAnsiTheme="majorHAnsi" w:cstheme="minorHAnsi"/>
                <w:sz w:val="22"/>
              </w:rPr>
              <w:t>with the patient</w:t>
            </w:r>
            <w:r w:rsidR="00C3493B">
              <w:rPr>
                <w:rFonts w:asciiTheme="majorHAnsi" w:hAnsiTheme="majorHAnsi" w:cstheme="minorHAnsi"/>
                <w:sz w:val="22"/>
              </w:rPr>
              <w:t xml:space="preserve"> and family. The patient’s</w:t>
            </w:r>
            <w:r>
              <w:rPr>
                <w:rFonts w:asciiTheme="majorHAnsi" w:hAnsiTheme="majorHAnsi" w:cstheme="minorHAnsi"/>
                <w:sz w:val="22"/>
              </w:rPr>
              <w:t xml:space="preserve"> informed consent should be documented in the medical record</w:t>
            </w:r>
            <w:r w:rsidR="00773F41">
              <w:rPr>
                <w:rFonts w:asciiTheme="majorHAnsi" w:hAnsiTheme="majorHAnsi" w:cstheme="minorHAnsi"/>
                <w:sz w:val="22"/>
              </w:rPr>
              <w:t xml:space="preserve">. </w:t>
            </w:r>
          </w:p>
        </w:tc>
      </w:tr>
    </w:tbl>
    <w:p w14:paraId="41E8BF8F" w14:textId="6EA8D719" w:rsidR="007B7CF2" w:rsidRDefault="007B7CF2" w:rsidP="007B7CF2">
      <w:pPr>
        <w:spacing w:after="0" w:line="240" w:lineRule="auto"/>
        <w:rPr>
          <w:rFonts w:asciiTheme="majorHAnsi" w:hAnsiTheme="majorHAnsi"/>
          <w:b/>
          <w:szCs w:val="20"/>
        </w:rPr>
      </w:pPr>
    </w:p>
    <w:p w14:paraId="1568F689" w14:textId="77777777" w:rsidR="00523454" w:rsidRPr="0001755A" w:rsidRDefault="00523454" w:rsidP="0001755A">
      <w:p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b/>
          <w:sz w:val="19"/>
          <w:szCs w:val="19"/>
        </w:rPr>
        <w:t>References/Resources</w:t>
      </w:r>
    </w:p>
    <w:p w14:paraId="490E5300" w14:textId="4AAA76BC" w:rsidR="00E67783" w:rsidRPr="0001755A" w:rsidRDefault="00E67783" w:rsidP="0001755A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>Opioid Risk Tool, Patient Self-</w:t>
      </w:r>
      <w:r w:rsidR="009E5EF0" w:rsidRPr="0001755A">
        <w:rPr>
          <w:rFonts w:asciiTheme="majorHAnsi" w:eastAsia="Times New Roman" w:hAnsiTheme="majorHAnsi" w:cs="Times New Roman"/>
          <w:sz w:val="19"/>
          <w:szCs w:val="19"/>
        </w:rPr>
        <w:t>R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eport Screening: </w:t>
      </w:r>
      <w:hyperlink r:id="rId42" w:history="1"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https://www.drugabuse.gov/sites/default/files/files/OpioidRiskTool.pdf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7B7A125E" w14:textId="38BE7DA2" w:rsidR="00E67783" w:rsidRPr="0001755A" w:rsidRDefault="00E67783" w:rsidP="0001755A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Screener and Opioid Assessment for Patients with Pain (SOAPP-SF): </w:t>
      </w:r>
      <w:hyperlink r:id="rId43" w:history="1"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https://www.nhms.org/sites/default/files/Pdfs/SOAPP-5.pdf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151F96B0" w14:textId="1BA0D088" w:rsidR="00E67783" w:rsidRPr="0001755A" w:rsidRDefault="00E67783" w:rsidP="0001755A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Theme="majorHAnsi" w:eastAsia="Times New Roman" w:hAnsiTheme="majorHAnsi" w:cs="Times New Roman"/>
          <w:sz w:val="19"/>
          <w:szCs w:val="19"/>
        </w:rPr>
      </w:pPr>
      <w:r w:rsidRPr="0001755A">
        <w:rPr>
          <w:rFonts w:asciiTheme="majorHAnsi" w:eastAsia="Times New Roman" w:hAnsiTheme="majorHAnsi" w:cs="Times New Roman"/>
          <w:sz w:val="19"/>
          <w:szCs w:val="19"/>
        </w:rPr>
        <w:lastRenderedPageBreak/>
        <w:t>Campbell G, Hall WD, Peacock A, et al. Effect of cannabis use in people with chronic non-cancer pain prescribed opioids: findings from a 4-year prospective cohort study. Lancet Public Health. 2018 Jul;3(7</w:t>
      </w:r>
      <w:proofErr w:type="gramStart"/>
      <w:r w:rsidRPr="0001755A">
        <w:rPr>
          <w:rFonts w:asciiTheme="majorHAnsi" w:eastAsia="Times New Roman" w:hAnsiTheme="majorHAnsi" w:cs="Times New Roman"/>
          <w:sz w:val="19"/>
          <w:szCs w:val="19"/>
        </w:rPr>
        <w:t>):e</w:t>
      </w:r>
      <w:proofErr w:type="gramEnd"/>
      <w:r w:rsidRPr="0001755A">
        <w:rPr>
          <w:rFonts w:asciiTheme="majorHAnsi" w:eastAsia="Times New Roman" w:hAnsiTheme="majorHAnsi" w:cs="Times New Roman"/>
          <w:sz w:val="19"/>
          <w:szCs w:val="19"/>
        </w:rPr>
        <w:t>341</w:t>
      </w:r>
      <w:r w:rsidRPr="0001755A">
        <w:rPr>
          <w:rFonts w:asciiTheme="majorHAnsi" w:hAnsiTheme="majorHAnsi"/>
          <w:sz w:val="19"/>
          <w:szCs w:val="19"/>
        </w:rPr>
        <w:t>–</w:t>
      </w:r>
      <w:r w:rsidRPr="0001755A">
        <w:rPr>
          <w:rFonts w:asciiTheme="majorHAnsi" w:eastAsia="Times New Roman" w:hAnsiTheme="majorHAnsi" w:cs="Times New Roman"/>
          <w:sz w:val="19"/>
          <w:szCs w:val="19"/>
        </w:rPr>
        <w:t xml:space="preserve">e350. </w:t>
      </w:r>
      <w:hyperlink r:id="rId44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</w:t>
        </w:r>
        <w:r w:rsidR="00366EEF" w:rsidRPr="0001755A">
          <w:rPr>
            <w:rStyle w:val="Hyperlink"/>
            <w:rFonts w:asciiTheme="majorHAnsi" w:eastAsia="Times New Roman" w:hAnsiTheme="majorHAnsi" w:cs="Times New Roman"/>
            <w:sz w:val="19"/>
            <w:szCs w:val="19"/>
          </w:rPr>
          <w:t>/10.1016/S2468-2667(18)30110-5</w:t>
        </w:r>
      </w:hyperlink>
      <w:r w:rsidR="00366EEF" w:rsidRPr="0001755A">
        <w:rPr>
          <w:rFonts w:asciiTheme="majorHAnsi" w:eastAsia="Times New Roman" w:hAnsiTheme="majorHAnsi" w:cs="Times New Roman"/>
          <w:sz w:val="19"/>
          <w:szCs w:val="19"/>
        </w:rPr>
        <w:t xml:space="preserve"> </w:t>
      </w:r>
    </w:p>
    <w:p w14:paraId="684C75F9" w14:textId="29084421" w:rsidR="00EB6318" w:rsidRDefault="00E67783" w:rsidP="0001755A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sz w:val="19"/>
          <w:szCs w:val="19"/>
        </w:rPr>
        <w:t xml:space="preserve">Chou R, </w:t>
      </w:r>
      <w:proofErr w:type="spellStart"/>
      <w:r w:rsidRPr="0001755A">
        <w:rPr>
          <w:rFonts w:asciiTheme="majorHAnsi" w:hAnsiTheme="majorHAnsi"/>
          <w:sz w:val="19"/>
          <w:szCs w:val="19"/>
        </w:rPr>
        <w:t>Fanciullo</w:t>
      </w:r>
      <w:proofErr w:type="spellEnd"/>
      <w:r w:rsidRPr="0001755A">
        <w:rPr>
          <w:rFonts w:asciiTheme="majorHAnsi" w:hAnsiTheme="majorHAnsi"/>
          <w:sz w:val="19"/>
          <w:szCs w:val="19"/>
        </w:rPr>
        <w:t xml:space="preserve"> GJ, Fine PG, et al. Clinical guidelines for the use of chronic opioid therapy in chronic noncancer pain. American Pain Society-American Academy of Pain Medicine Opioids Guidelines Panel. J Pain. 2009 Feb;10(2):113–30. </w:t>
      </w:r>
      <w:hyperlink r:id="rId45" w:history="1">
        <w:r w:rsidR="00366EEF" w:rsidRPr="0001755A">
          <w:rPr>
            <w:rStyle w:val="Hyperlink"/>
            <w:rFonts w:asciiTheme="majorHAnsi" w:hAnsiTheme="majorHAnsi"/>
            <w:sz w:val="19"/>
            <w:szCs w:val="19"/>
          </w:rPr>
          <w:t>https://dx.doi.org/10.1016/j.jpain.2008.10.008</w:t>
        </w:r>
      </w:hyperlink>
      <w:r w:rsidR="00366EEF" w:rsidRPr="0001755A">
        <w:rPr>
          <w:rFonts w:asciiTheme="majorHAnsi" w:hAnsiTheme="majorHAnsi"/>
          <w:sz w:val="19"/>
          <w:szCs w:val="19"/>
        </w:rPr>
        <w:t xml:space="preserve"> </w:t>
      </w:r>
    </w:p>
    <w:p w14:paraId="2F34C381" w14:textId="77777777" w:rsidR="0001755A" w:rsidRPr="0001755A" w:rsidRDefault="0001755A" w:rsidP="0001755A">
      <w:pPr>
        <w:pStyle w:val="ListParagraph"/>
        <w:spacing w:after="0" w:line="240" w:lineRule="auto"/>
        <w:rPr>
          <w:rFonts w:asciiTheme="majorHAnsi" w:hAnsiTheme="majorHAnsi"/>
          <w:sz w:val="19"/>
          <w:szCs w:val="19"/>
        </w:rPr>
      </w:pPr>
    </w:p>
    <w:p w14:paraId="79FA9F77" w14:textId="06EDA70E" w:rsidR="00BD669B" w:rsidRPr="00F6750A" w:rsidRDefault="00FD303F" w:rsidP="0001755A">
      <w:pPr>
        <w:spacing w:after="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51566A" w14:textId="65E348D8" w:rsidR="0001755A" w:rsidRDefault="0001755A" w:rsidP="00D458F2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</w:p>
    <w:p w14:paraId="5B6E62EE" w14:textId="34D623D8" w:rsidR="001C46A0" w:rsidRDefault="001C46A0" w:rsidP="00D458F2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</w:p>
    <w:p w14:paraId="1629F814" w14:textId="77777777" w:rsidR="001C46A0" w:rsidRDefault="001C46A0" w:rsidP="00D458F2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</w:p>
    <w:p w14:paraId="0E7A4428" w14:textId="486EED6E" w:rsidR="00D458F2" w:rsidRPr="00317B0C" w:rsidRDefault="00D458F2" w:rsidP="00D458F2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FOCUS AREA #6</w:t>
      </w:r>
      <w:r w:rsidRPr="00317B0C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– 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OPIOID USE DISORDER AND MEDICATION</w:t>
      </w:r>
      <w:r w:rsidR="00BD669B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S FOR 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>A</w:t>
      </w:r>
      <w:r w:rsidR="00BD669B">
        <w:rPr>
          <w:rFonts w:asciiTheme="majorHAnsi" w:hAnsiTheme="majorHAnsi"/>
          <w:b/>
          <w:color w:val="E36C0A" w:themeColor="accent6" w:themeShade="BF"/>
          <w:sz w:val="24"/>
          <w:szCs w:val="24"/>
        </w:rPr>
        <w:t>DDICTION</w:t>
      </w:r>
      <w:r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TREATMENT</w:t>
      </w:r>
    </w:p>
    <w:p w14:paraId="489DC559" w14:textId="77777777" w:rsidR="00D458F2" w:rsidRDefault="00D458F2" w:rsidP="00317B0C">
      <w:pPr>
        <w:spacing w:after="0" w:line="240" w:lineRule="auto"/>
        <w:rPr>
          <w:rFonts w:asciiTheme="majorHAnsi" w:hAnsiTheme="maj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11881"/>
      </w:tblGrid>
      <w:tr w:rsidR="00D458F2" w14:paraId="020B7271" w14:textId="77777777" w:rsidTr="00A74A91">
        <w:trPr>
          <w:trHeight w:val="260"/>
          <w:tblHeader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4FBA71" w14:textId="77777777" w:rsidR="00D458F2" w:rsidRPr="00317B0C" w:rsidRDefault="00D458F2" w:rsidP="00A74A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 xml:space="preserve">FOCUS AREA </w:t>
            </w:r>
          </w:p>
        </w:tc>
        <w:tc>
          <w:tcPr>
            <w:tcW w:w="12078" w:type="dxa"/>
            <w:shd w:val="clear" w:color="auto" w:fill="FFCC99"/>
            <w:vAlign w:val="center"/>
          </w:tcPr>
          <w:p w14:paraId="63B06B26" w14:textId="77777777" w:rsidR="00D458F2" w:rsidRPr="00317B0C" w:rsidRDefault="00D458F2" w:rsidP="00A74A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317B0C">
              <w:rPr>
                <w:rFonts w:asciiTheme="majorHAnsi" w:hAnsiTheme="majorHAnsi"/>
                <w:b/>
                <w:sz w:val="22"/>
              </w:rPr>
              <w:t>RECOMMENDATIONS</w:t>
            </w:r>
          </w:p>
        </w:tc>
      </w:tr>
      <w:tr w:rsidR="00D458F2" w14:paraId="5B0863B0" w14:textId="77777777" w:rsidTr="00E42B74">
        <w:trPr>
          <w:trHeight w:val="620"/>
        </w:trPr>
        <w:tc>
          <w:tcPr>
            <w:tcW w:w="2538" w:type="dxa"/>
            <w:shd w:val="clear" w:color="auto" w:fill="E6E6E6"/>
            <w:vAlign w:val="center"/>
          </w:tcPr>
          <w:p w14:paraId="753D1E0E" w14:textId="067EEA07" w:rsidR="00D458F2" w:rsidRPr="0001755A" w:rsidRDefault="00D458F2" w:rsidP="00A74A91">
            <w:pPr>
              <w:spacing w:before="40" w:after="0" w:line="240" w:lineRule="auto"/>
              <w:rPr>
                <w:rFonts w:asciiTheme="majorHAnsi" w:hAnsiTheme="majorHAnsi" w:cstheme="minorHAnsi"/>
                <w:b/>
                <w:sz w:val="22"/>
              </w:rPr>
            </w:pPr>
            <w:r w:rsidRPr="0001755A">
              <w:rPr>
                <w:rFonts w:asciiTheme="majorHAnsi" w:hAnsiTheme="majorHAnsi" w:cstheme="minorHAnsi"/>
                <w:b/>
                <w:sz w:val="22"/>
              </w:rPr>
              <w:t xml:space="preserve">It is important for providers to recognize opioid use disorder.  Initiation and/or referral for ongoing treatment is vital. </w:t>
            </w:r>
          </w:p>
          <w:p w14:paraId="44B6E4E7" w14:textId="77777777" w:rsidR="00D458F2" w:rsidRPr="00317B0C" w:rsidRDefault="00D458F2" w:rsidP="00A74A91">
            <w:pPr>
              <w:spacing w:before="40"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2078" w:type="dxa"/>
          </w:tcPr>
          <w:p w14:paraId="77D7438A" w14:textId="2780F152" w:rsidR="00D458F2" w:rsidRPr="00DE7BD0" w:rsidRDefault="00DE7BD0" w:rsidP="00F97B8B">
            <w:pPr>
              <w:pStyle w:val="ListParagraph"/>
              <w:numPr>
                <w:ilvl w:val="0"/>
                <w:numId w:val="24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 w:rsidRPr="00DE7BD0">
              <w:rPr>
                <w:rFonts w:asciiTheme="majorHAnsi" w:hAnsiTheme="majorHAnsi" w:cstheme="minorHAnsi"/>
                <w:bCs/>
                <w:sz w:val="22"/>
              </w:rPr>
              <w:t>Clinicians should screen for substance use disorders in patients, including opioid use disorder</w:t>
            </w:r>
            <w:r w:rsidR="009C7E27">
              <w:rPr>
                <w:rFonts w:asciiTheme="majorHAnsi" w:hAnsiTheme="majorHAnsi" w:cstheme="minorHAnsi"/>
                <w:bCs/>
                <w:sz w:val="22"/>
              </w:rPr>
              <w:t xml:space="preserve"> (OUD)</w:t>
            </w:r>
            <w:r w:rsidR="004E4515">
              <w:rPr>
                <w:rFonts w:asciiTheme="majorHAnsi" w:hAnsiTheme="majorHAnsi" w:cstheme="minorHAnsi"/>
                <w:bCs/>
                <w:sz w:val="22"/>
              </w:rPr>
              <w:t>,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 w:rsidR="00312CEA">
              <w:rPr>
                <w:rFonts w:asciiTheme="majorHAnsi" w:hAnsiTheme="majorHAnsi" w:cstheme="minorHAnsi"/>
                <w:bCs/>
                <w:sz w:val="22"/>
              </w:rPr>
              <w:t xml:space="preserve">when 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>prescrib</w:t>
            </w:r>
            <w:r w:rsidR="00312CEA">
              <w:rPr>
                <w:rFonts w:asciiTheme="majorHAnsi" w:hAnsiTheme="majorHAnsi" w:cstheme="minorHAnsi"/>
                <w:bCs/>
                <w:sz w:val="22"/>
              </w:rPr>
              <w:t>ing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 xml:space="preserve"> opioids. The </w:t>
            </w:r>
            <w:r w:rsidR="009516F2">
              <w:rPr>
                <w:rFonts w:asciiTheme="majorHAnsi" w:hAnsiTheme="majorHAnsi" w:cstheme="minorHAnsi"/>
                <w:bCs/>
                <w:sz w:val="22"/>
              </w:rPr>
              <w:t>diagnosis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 xml:space="preserve"> of a substance use disorder</w:t>
            </w:r>
            <w:r w:rsidR="00E223CB">
              <w:rPr>
                <w:rFonts w:asciiTheme="majorHAnsi" w:hAnsiTheme="majorHAnsi" w:cstheme="minorHAnsi"/>
                <w:bCs/>
                <w:sz w:val="22"/>
              </w:rPr>
              <w:t xml:space="preserve"> (SUD)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sz w:val="22"/>
              </w:rPr>
              <w:t>is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sz w:val="22"/>
              </w:rPr>
              <w:t xml:space="preserve">more </w:t>
            </w:r>
            <w:r w:rsidRPr="00DE7BD0">
              <w:rPr>
                <w:rFonts w:asciiTheme="majorHAnsi" w:hAnsiTheme="majorHAnsi" w:cstheme="minorHAnsi"/>
                <w:bCs/>
                <w:sz w:val="22"/>
              </w:rPr>
              <w:t xml:space="preserve">likely when aberrant medication taking behaviors and </w:t>
            </w:r>
            <w:r w:rsidRPr="00DE7BD0">
              <w:rPr>
                <w:rFonts w:asciiTheme="majorHAnsi" w:hAnsiTheme="majorHAnsi" w:cstheme="minorHAnsi"/>
                <w:sz w:val="22"/>
              </w:rPr>
              <w:t>func</w:t>
            </w:r>
            <w:r>
              <w:rPr>
                <w:rFonts w:asciiTheme="majorHAnsi" w:hAnsiTheme="majorHAnsi" w:cstheme="minorHAnsi"/>
                <w:sz w:val="22"/>
              </w:rPr>
              <w:t>tional and social impairments that</w:t>
            </w:r>
            <w:r w:rsidRPr="00DE7BD0">
              <w:rPr>
                <w:rFonts w:asciiTheme="majorHAnsi" w:hAnsiTheme="majorHAnsi" w:cstheme="minorHAnsi"/>
                <w:sz w:val="22"/>
              </w:rPr>
              <w:t xml:space="preserve"> result </w:t>
            </w:r>
            <w:r>
              <w:rPr>
                <w:rFonts w:asciiTheme="majorHAnsi" w:hAnsiTheme="majorHAnsi" w:cstheme="minorHAnsi"/>
                <w:sz w:val="22"/>
              </w:rPr>
              <w:t>from</w:t>
            </w:r>
            <w:r w:rsidRPr="00DE7BD0">
              <w:rPr>
                <w:rFonts w:asciiTheme="majorHAnsi" w:hAnsiTheme="majorHAnsi" w:cstheme="minorHAnsi"/>
                <w:sz w:val="22"/>
              </w:rPr>
              <w:t xml:space="preserve"> substance use</w:t>
            </w:r>
            <w:r w:rsidR="00312CEA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312CEA" w:rsidRPr="00DE7BD0">
              <w:rPr>
                <w:rFonts w:asciiTheme="majorHAnsi" w:hAnsiTheme="majorHAnsi" w:cstheme="minorHAnsi"/>
                <w:sz w:val="22"/>
              </w:rPr>
              <w:t>(including prescription opioid</w:t>
            </w:r>
            <w:r w:rsidR="00312CEA">
              <w:rPr>
                <w:rFonts w:asciiTheme="majorHAnsi" w:hAnsiTheme="majorHAnsi" w:cstheme="minorHAnsi"/>
                <w:sz w:val="22"/>
              </w:rPr>
              <w:t>s</w:t>
            </w:r>
            <w:r w:rsidR="00312CEA" w:rsidRPr="00DE7BD0">
              <w:rPr>
                <w:rFonts w:asciiTheme="majorHAnsi" w:hAnsiTheme="majorHAnsi" w:cstheme="minorHAnsi"/>
                <w:sz w:val="22"/>
              </w:rPr>
              <w:t xml:space="preserve">) </w:t>
            </w:r>
            <w:r w:rsidR="00523454">
              <w:rPr>
                <w:rFonts w:asciiTheme="majorHAnsi" w:hAnsiTheme="majorHAnsi" w:cstheme="minorHAnsi"/>
                <w:sz w:val="22"/>
              </w:rPr>
              <w:t xml:space="preserve">are present </w:t>
            </w:r>
            <w:r w:rsidR="00D458F2" w:rsidRPr="009516F2">
              <w:rPr>
                <w:rFonts w:asciiTheme="majorHAnsi" w:hAnsiTheme="majorHAnsi" w:cstheme="minorHAnsi"/>
                <w:sz w:val="22"/>
              </w:rPr>
              <w:t>(</w:t>
            </w:r>
            <w:r w:rsidR="00D458F2" w:rsidRPr="00523454">
              <w:rPr>
                <w:rFonts w:asciiTheme="majorHAnsi" w:hAnsiTheme="majorHAnsi" w:cstheme="minorHAnsi"/>
                <w:sz w:val="22"/>
              </w:rPr>
              <w:t xml:space="preserve">see the </w:t>
            </w:r>
            <w:r w:rsidR="00D458F2" w:rsidRPr="009516F2">
              <w:rPr>
                <w:rFonts w:asciiTheme="majorHAnsi" w:hAnsiTheme="majorHAnsi" w:cstheme="minorHAnsi"/>
                <w:i/>
                <w:sz w:val="22"/>
              </w:rPr>
              <w:t xml:space="preserve">References/Resources </w:t>
            </w:r>
            <w:r w:rsidR="00D458F2" w:rsidRPr="00523454">
              <w:rPr>
                <w:rFonts w:asciiTheme="majorHAnsi" w:hAnsiTheme="majorHAnsi" w:cstheme="minorHAnsi"/>
                <w:sz w:val="22"/>
              </w:rPr>
              <w:t>below for screening and referral resources</w:t>
            </w:r>
            <w:r w:rsidR="00D458F2" w:rsidRPr="009516F2">
              <w:rPr>
                <w:rFonts w:asciiTheme="majorHAnsi" w:hAnsiTheme="majorHAnsi" w:cstheme="minorHAnsi"/>
                <w:sz w:val="22"/>
              </w:rPr>
              <w:t>).</w:t>
            </w:r>
          </w:p>
          <w:p w14:paraId="31C4A9CB" w14:textId="5C2E87DF" w:rsidR="00DE7BD0" w:rsidRPr="001559DC" w:rsidRDefault="00DE7BD0" w:rsidP="00F97B8B">
            <w:pPr>
              <w:pStyle w:val="ListParagraph"/>
              <w:numPr>
                <w:ilvl w:val="0"/>
                <w:numId w:val="24"/>
              </w:numPr>
              <w:spacing w:before="40"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1559DC">
              <w:rPr>
                <w:rFonts w:asciiTheme="majorHAnsi" w:hAnsiTheme="majorHAnsi" w:cstheme="minorHAnsi"/>
                <w:sz w:val="22"/>
              </w:rPr>
              <w:t xml:space="preserve">Primary care providers should provide patients with medications </w:t>
            </w:r>
            <w:r w:rsidR="00523454">
              <w:rPr>
                <w:rFonts w:asciiTheme="majorHAnsi" w:hAnsiTheme="majorHAnsi" w:cstheme="minorHAnsi"/>
                <w:sz w:val="22"/>
              </w:rPr>
              <w:t>to treat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E42B74">
              <w:rPr>
                <w:rFonts w:asciiTheme="majorHAnsi" w:hAnsiTheme="majorHAnsi" w:cstheme="minorHAnsi"/>
                <w:sz w:val="22"/>
              </w:rPr>
              <w:t>OUD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523454">
              <w:rPr>
                <w:rFonts w:asciiTheme="majorHAnsi" w:hAnsiTheme="majorHAnsi" w:cstheme="minorHAnsi"/>
                <w:sz w:val="22"/>
              </w:rPr>
              <w:t>(e.g., buprenorphin</w:t>
            </w:r>
            <w:r w:rsidR="00523454" w:rsidRPr="001431FD">
              <w:rPr>
                <w:rFonts w:asciiTheme="majorHAnsi" w:hAnsiTheme="majorHAnsi" w:cstheme="minorHAnsi"/>
                <w:sz w:val="22"/>
              </w:rPr>
              <w:t>e</w:t>
            </w:r>
            <w:r w:rsidR="001431FD" w:rsidRPr="001431FD">
              <w:rPr>
                <w:rFonts w:asciiTheme="majorHAnsi" w:hAnsiTheme="majorHAnsi" w:cstheme="minorHAnsi"/>
                <w:sz w:val="22"/>
              </w:rPr>
              <w:t>-</w:t>
            </w:r>
            <w:r w:rsidR="001431FD" w:rsidRPr="001431FD">
              <w:rPr>
                <w:rFonts w:asciiTheme="majorHAnsi" w:hAnsiTheme="majorHAnsi"/>
                <w:sz w:val="22"/>
              </w:rPr>
              <w:t>naloxone</w:t>
            </w:r>
            <w:r w:rsidR="00523454" w:rsidRPr="001431FD">
              <w:rPr>
                <w:rFonts w:asciiTheme="majorHAnsi" w:hAnsiTheme="majorHAnsi" w:cstheme="minorHAnsi"/>
                <w:sz w:val="22"/>
              </w:rPr>
              <w:t xml:space="preserve">, </w:t>
            </w:r>
            <w:r w:rsidR="00523454">
              <w:rPr>
                <w:rFonts w:asciiTheme="majorHAnsi" w:hAnsiTheme="majorHAnsi" w:cstheme="minorHAnsi"/>
                <w:sz w:val="22"/>
              </w:rPr>
              <w:t xml:space="preserve">naltrexone) </w:t>
            </w:r>
            <w:r w:rsidRPr="001559DC">
              <w:rPr>
                <w:rFonts w:asciiTheme="majorHAnsi" w:hAnsiTheme="majorHAnsi" w:cstheme="minorHAnsi"/>
                <w:sz w:val="22"/>
              </w:rPr>
              <w:t>or</w:t>
            </w:r>
            <w:r w:rsidR="00312CEA"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should </w:t>
            </w:r>
            <w:r w:rsidR="00E42B74">
              <w:rPr>
                <w:rFonts w:asciiTheme="majorHAnsi" w:hAnsiTheme="majorHAnsi" w:cstheme="minorHAnsi"/>
                <w:sz w:val="22"/>
              </w:rPr>
              <w:t>refer</w:t>
            </w:r>
            <w:r w:rsidR="00E223CB">
              <w:rPr>
                <w:rFonts w:asciiTheme="majorHAnsi" w:hAnsiTheme="majorHAnsi" w:cstheme="minorHAnsi"/>
                <w:sz w:val="22"/>
              </w:rPr>
              <w:t xml:space="preserve"> these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 patients to a clinician who offers </w:t>
            </w:r>
            <w:r w:rsidR="009516F2" w:rsidRPr="001559DC">
              <w:rPr>
                <w:rFonts w:asciiTheme="majorHAnsi" w:hAnsiTheme="majorHAnsi" w:cstheme="minorHAnsi"/>
                <w:sz w:val="22"/>
              </w:rPr>
              <w:t xml:space="preserve">medications for </w:t>
            </w:r>
            <w:r w:rsidRPr="001559DC">
              <w:rPr>
                <w:rFonts w:asciiTheme="majorHAnsi" w:hAnsiTheme="majorHAnsi" w:cstheme="minorHAnsi"/>
                <w:sz w:val="22"/>
              </w:rPr>
              <w:t>opioid use disorder.  Providers can become waivered by the DEA to prescribe buprenorphine</w:t>
            </w:r>
            <w:r w:rsidR="001431FD">
              <w:rPr>
                <w:rFonts w:asciiTheme="majorHAnsi" w:hAnsiTheme="majorHAnsi" w:cstheme="minorHAnsi"/>
                <w:sz w:val="22"/>
              </w:rPr>
              <w:t>-naloxone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 for opioid use disorder by maintain</w:t>
            </w:r>
            <w:r w:rsidR="00E400E4">
              <w:rPr>
                <w:rFonts w:asciiTheme="majorHAnsi" w:hAnsiTheme="majorHAnsi" w:cstheme="minorHAnsi"/>
                <w:sz w:val="22"/>
              </w:rPr>
              <w:t>ing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 a DEA certificate and </w:t>
            </w:r>
            <w:r w:rsidR="009516F2" w:rsidRPr="001559DC">
              <w:rPr>
                <w:rFonts w:asciiTheme="majorHAnsi" w:hAnsiTheme="majorHAnsi" w:cstheme="minorHAnsi"/>
                <w:sz w:val="22"/>
              </w:rPr>
              <w:t xml:space="preserve">obtaining </w:t>
            </w:r>
            <w:r w:rsidR="00523454">
              <w:rPr>
                <w:rFonts w:asciiTheme="majorHAnsi" w:hAnsiTheme="majorHAnsi" w:cstheme="minorHAnsi"/>
                <w:sz w:val="22"/>
              </w:rPr>
              <w:t>X-waiver training</w:t>
            </w:r>
            <w:r w:rsidRPr="001559DC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1559DC" w:rsidRPr="008E2235">
              <w:rPr>
                <w:rFonts w:asciiTheme="majorHAnsi" w:hAnsiTheme="majorHAnsi" w:cstheme="minorHAnsi"/>
                <w:sz w:val="22"/>
              </w:rPr>
              <w:t>(see the</w:t>
            </w:r>
            <w:r w:rsidR="001559DC" w:rsidRPr="001559DC">
              <w:rPr>
                <w:rFonts w:asciiTheme="majorHAnsi" w:hAnsiTheme="majorHAnsi" w:cstheme="minorHAnsi"/>
                <w:i/>
                <w:sz w:val="22"/>
              </w:rPr>
              <w:t xml:space="preserve"> References/Resources</w:t>
            </w:r>
            <w:r w:rsidR="001559DC" w:rsidRPr="008E2235">
              <w:rPr>
                <w:rFonts w:asciiTheme="majorHAnsi" w:hAnsiTheme="majorHAnsi" w:cstheme="minorHAnsi"/>
                <w:sz w:val="22"/>
              </w:rPr>
              <w:t xml:space="preserve"> for information on treatment for substance use in primary care settings)</w:t>
            </w:r>
            <w:r w:rsidR="00523454" w:rsidRPr="008E2235">
              <w:rPr>
                <w:rFonts w:asciiTheme="majorHAnsi" w:hAnsiTheme="majorHAnsi" w:cstheme="minorHAnsi"/>
                <w:sz w:val="22"/>
              </w:rPr>
              <w:t>.</w:t>
            </w:r>
          </w:p>
          <w:p w14:paraId="4DE4BDE6" w14:textId="33783950" w:rsidR="00D458F2" w:rsidRPr="00D458F2" w:rsidRDefault="009516F2" w:rsidP="00F97B8B">
            <w:pPr>
              <w:pStyle w:val="ListParagraph"/>
              <w:numPr>
                <w:ilvl w:val="0"/>
                <w:numId w:val="24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E</w:t>
            </w:r>
            <w:r w:rsidR="00D458F2">
              <w:rPr>
                <w:rFonts w:asciiTheme="majorHAnsi" w:hAnsiTheme="majorHAnsi" w:cstheme="minorHAnsi"/>
                <w:sz w:val="22"/>
              </w:rPr>
              <w:t>mergency d</w:t>
            </w:r>
            <w:r w:rsidR="00D458F2" w:rsidRPr="00F171FA">
              <w:rPr>
                <w:rFonts w:asciiTheme="majorHAnsi" w:hAnsiTheme="majorHAnsi" w:cstheme="minorHAnsi"/>
                <w:sz w:val="22"/>
              </w:rPr>
              <w:t xml:space="preserve">epartment providers </w:t>
            </w:r>
            <w:r>
              <w:rPr>
                <w:rFonts w:asciiTheme="majorHAnsi" w:hAnsiTheme="majorHAnsi" w:cstheme="minorHAnsi"/>
                <w:sz w:val="22"/>
              </w:rPr>
              <w:t>should</w:t>
            </w:r>
            <w:r w:rsidR="00D458F2" w:rsidRPr="00F171FA"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E400E4">
              <w:rPr>
                <w:rFonts w:asciiTheme="majorHAnsi" w:hAnsiTheme="majorHAnsi" w:cstheme="minorHAnsi"/>
                <w:sz w:val="22"/>
              </w:rPr>
              <w:t>administer</w:t>
            </w:r>
            <w:r>
              <w:rPr>
                <w:rFonts w:asciiTheme="majorHAnsi" w:hAnsiTheme="majorHAnsi" w:cstheme="minorHAnsi"/>
                <w:sz w:val="22"/>
              </w:rPr>
              <w:t xml:space="preserve"> </w:t>
            </w:r>
            <w:r w:rsidR="00D458F2" w:rsidRPr="00F171FA">
              <w:rPr>
                <w:rFonts w:asciiTheme="majorHAnsi" w:hAnsiTheme="majorHAnsi" w:cstheme="minorHAnsi"/>
                <w:sz w:val="22"/>
              </w:rPr>
              <w:t xml:space="preserve">buprenorphine </w:t>
            </w:r>
            <w:r>
              <w:rPr>
                <w:rFonts w:asciiTheme="majorHAnsi" w:hAnsiTheme="majorHAnsi" w:cstheme="minorHAnsi"/>
                <w:sz w:val="22"/>
              </w:rPr>
              <w:t xml:space="preserve">to </w:t>
            </w:r>
            <w:r w:rsidR="00D458F2" w:rsidRPr="00F171FA">
              <w:rPr>
                <w:rFonts w:asciiTheme="majorHAnsi" w:hAnsiTheme="majorHAnsi" w:cstheme="minorHAnsi"/>
                <w:sz w:val="22"/>
              </w:rPr>
              <w:t>patients presenting with signs and symptoms of op</w:t>
            </w:r>
            <w:r w:rsidR="00D458F2">
              <w:rPr>
                <w:rFonts w:asciiTheme="majorHAnsi" w:hAnsiTheme="majorHAnsi" w:cstheme="minorHAnsi"/>
                <w:sz w:val="22"/>
              </w:rPr>
              <w:t>ioid</w:t>
            </w:r>
            <w:r w:rsidR="00D458F2" w:rsidRPr="00F171FA">
              <w:rPr>
                <w:rFonts w:asciiTheme="majorHAnsi" w:hAnsiTheme="majorHAnsi" w:cstheme="minorHAnsi"/>
                <w:sz w:val="22"/>
              </w:rPr>
              <w:t xml:space="preserve"> withdrawal</w:t>
            </w:r>
            <w:r w:rsidR="00D458F2">
              <w:rPr>
                <w:rFonts w:asciiTheme="majorHAnsi" w:hAnsiTheme="majorHAnsi" w:cstheme="minorHAnsi"/>
                <w:sz w:val="22"/>
              </w:rPr>
              <w:t xml:space="preserve">, </w:t>
            </w:r>
            <w:r>
              <w:rPr>
                <w:rFonts w:asciiTheme="majorHAnsi" w:hAnsiTheme="majorHAnsi" w:cstheme="minorHAnsi"/>
                <w:sz w:val="22"/>
              </w:rPr>
              <w:t xml:space="preserve">and, if the patient has an opioid use disorder, </w:t>
            </w:r>
            <w:r w:rsidR="00D458F2">
              <w:rPr>
                <w:rFonts w:asciiTheme="majorHAnsi" w:hAnsiTheme="majorHAnsi" w:cstheme="minorHAnsi"/>
                <w:sz w:val="22"/>
              </w:rPr>
              <w:t xml:space="preserve">refer </w:t>
            </w:r>
            <w:r>
              <w:rPr>
                <w:rFonts w:asciiTheme="majorHAnsi" w:hAnsiTheme="majorHAnsi" w:cstheme="minorHAnsi"/>
                <w:sz w:val="22"/>
              </w:rPr>
              <w:t>these patients to appropriate</w:t>
            </w:r>
            <w:r w:rsidR="00D458F2">
              <w:rPr>
                <w:rFonts w:asciiTheme="majorHAnsi" w:hAnsiTheme="majorHAnsi" w:cstheme="minorHAnsi"/>
                <w:sz w:val="22"/>
              </w:rPr>
              <w:t xml:space="preserve"> community-based substance use treatment</w:t>
            </w:r>
            <w:r>
              <w:rPr>
                <w:rFonts w:asciiTheme="majorHAnsi" w:hAnsiTheme="majorHAnsi" w:cstheme="minorHAnsi"/>
                <w:sz w:val="22"/>
              </w:rPr>
              <w:t xml:space="preserve"> </w:t>
            </w:r>
            <w:r w:rsidRPr="009516F2">
              <w:rPr>
                <w:rFonts w:asciiTheme="majorHAnsi" w:hAnsiTheme="majorHAnsi" w:cstheme="minorHAnsi"/>
                <w:sz w:val="22"/>
              </w:rPr>
              <w:t>(</w:t>
            </w:r>
            <w:r w:rsidRPr="00523454">
              <w:rPr>
                <w:rFonts w:asciiTheme="majorHAnsi" w:hAnsiTheme="majorHAnsi" w:cstheme="minorHAnsi"/>
                <w:sz w:val="22"/>
              </w:rPr>
              <w:t>see the</w:t>
            </w:r>
            <w:r w:rsidRPr="009516F2">
              <w:rPr>
                <w:rFonts w:asciiTheme="majorHAnsi" w:hAnsiTheme="majorHAnsi" w:cstheme="minorHAnsi"/>
                <w:i/>
                <w:sz w:val="22"/>
              </w:rPr>
              <w:t xml:space="preserve"> References/Resources </w:t>
            </w:r>
            <w:r w:rsidRPr="00523454">
              <w:rPr>
                <w:rFonts w:asciiTheme="majorHAnsi" w:hAnsiTheme="majorHAnsi" w:cstheme="minorHAnsi"/>
                <w:sz w:val="22"/>
              </w:rPr>
              <w:t xml:space="preserve">below </w:t>
            </w:r>
            <w:r w:rsidR="00523454" w:rsidRPr="00523454">
              <w:rPr>
                <w:rFonts w:asciiTheme="majorHAnsi" w:hAnsiTheme="majorHAnsi" w:cstheme="minorHAnsi"/>
                <w:sz w:val="22"/>
              </w:rPr>
              <w:t>for information</w:t>
            </w:r>
            <w:r w:rsidR="001559DC" w:rsidRPr="00523454">
              <w:rPr>
                <w:rFonts w:asciiTheme="majorHAnsi" w:hAnsiTheme="majorHAnsi" w:cstheme="minorHAnsi"/>
                <w:sz w:val="22"/>
              </w:rPr>
              <w:t xml:space="preserve"> about treatment of opioid use disorders in hospital settings and </w:t>
            </w:r>
            <w:r w:rsidRPr="00523454">
              <w:rPr>
                <w:rFonts w:asciiTheme="majorHAnsi" w:hAnsiTheme="majorHAnsi" w:cstheme="minorHAnsi"/>
                <w:sz w:val="22"/>
              </w:rPr>
              <w:t>screening and referral resources</w:t>
            </w:r>
            <w:r w:rsidRPr="00CE2BD2">
              <w:rPr>
                <w:rFonts w:asciiTheme="majorHAnsi" w:hAnsiTheme="majorHAnsi" w:cstheme="minorHAnsi"/>
                <w:sz w:val="22"/>
              </w:rPr>
              <w:t>).</w:t>
            </w:r>
          </w:p>
          <w:p w14:paraId="50AED2DB" w14:textId="51411A6D" w:rsidR="00D458F2" w:rsidRPr="00523454" w:rsidRDefault="009516F2" w:rsidP="00F97B8B">
            <w:pPr>
              <w:pStyle w:val="ListParagraph"/>
              <w:numPr>
                <w:ilvl w:val="0"/>
                <w:numId w:val="24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When a patient confirmed to be receiving outpatient methadone or buprenorphine</w:t>
            </w:r>
            <w:r w:rsidR="001431FD">
              <w:rPr>
                <w:rFonts w:asciiTheme="majorHAnsi" w:hAnsiTheme="majorHAnsi" w:cstheme="minorHAnsi"/>
                <w:sz w:val="22"/>
              </w:rPr>
              <w:t>-naloxone</w:t>
            </w:r>
            <w:r>
              <w:rPr>
                <w:rFonts w:asciiTheme="majorHAnsi" w:hAnsiTheme="majorHAnsi" w:cstheme="minorHAnsi"/>
                <w:sz w:val="22"/>
              </w:rPr>
              <w:t xml:space="preserve"> maintenance treatment is admitted to a hospital for a non-substance use disorder medical condition, the hospital should continue these maintenance medications</w:t>
            </w:r>
            <w:r w:rsidR="00523454">
              <w:rPr>
                <w:rFonts w:asciiTheme="majorHAnsi" w:hAnsiTheme="majorHAnsi" w:cstheme="minorHAnsi"/>
                <w:sz w:val="22"/>
              </w:rPr>
              <w:t xml:space="preserve">. In these instances where methadone or buprenorphine maintenance treatment are continued in a hospital setting, </w:t>
            </w:r>
            <w:r>
              <w:rPr>
                <w:rFonts w:asciiTheme="majorHAnsi" w:hAnsiTheme="majorHAnsi" w:cstheme="minorHAnsi"/>
                <w:sz w:val="22"/>
              </w:rPr>
              <w:t>a separ</w:t>
            </w:r>
            <w:r w:rsidR="00523454">
              <w:rPr>
                <w:rFonts w:asciiTheme="majorHAnsi" w:hAnsiTheme="majorHAnsi" w:cstheme="minorHAnsi"/>
                <w:sz w:val="22"/>
              </w:rPr>
              <w:t xml:space="preserve">ate federal license or X-waiver for buprenorphine is not necessary </w:t>
            </w:r>
            <w:r w:rsidR="001559DC" w:rsidRPr="009516F2">
              <w:rPr>
                <w:rFonts w:asciiTheme="majorHAnsi" w:hAnsiTheme="majorHAnsi" w:cstheme="minorHAnsi"/>
                <w:sz w:val="22"/>
              </w:rPr>
              <w:t>(</w:t>
            </w:r>
            <w:r w:rsidR="001559DC" w:rsidRPr="00523454">
              <w:rPr>
                <w:rFonts w:asciiTheme="majorHAnsi" w:hAnsiTheme="majorHAnsi" w:cstheme="minorHAnsi"/>
                <w:sz w:val="22"/>
              </w:rPr>
              <w:t>see the</w:t>
            </w:r>
            <w:r w:rsidR="00523454">
              <w:rPr>
                <w:rFonts w:asciiTheme="majorHAnsi" w:hAnsiTheme="majorHAnsi" w:cstheme="minorHAnsi"/>
                <w:i/>
                <w:sz w:val="22"/>
              </w:rPr>
              <w:t xml:space="preserve"> References/Resources </w:t>
            </w:r>
            <w:r w:rsidR="00523454" w:rsidRPr="00523454">
              <w:rPr>
                <w:rFonts w:asciiTheme="majorHAnsi" w:hAnsiTheme="majorHAnsi" w:cstheme="minorHAnsi"/>
                <w:sz w:val="22"/>
              </w:rPr>
              <w:t>below for</w:t>
            </w:r>
            <w:r w:rsidR="001559DC" w:rsidRPr="00523454">
              <w:rPr>
                <w:rFonts w:asciiTheme="majorHAnsi" w:hAnsiTheme="majorHAnsi" w:cstheme="minorHAnsi"/>
                <w:sz w:val="22"/>
              </w:rPr>
              <w:t xml:space="preserve"> information about treatment of opioid use disorders in hospital settings</w:t>
            </w:r>
            <w:r w:rsidR="001559DC" w:rsidRPr="00CE2BD2">
              <w:rPr>
                <w:rFonts w:asciiTheme="majorHAnsi" w:hAnsiTheme="majorHAnsi" w:cstheme="minorHAnsi"/>
                <w:sz w:val="22"/>
              </w:rPr>
              <w:t>).</w:t>
            </w:r>
          </w:p>
          <w:p w14:paraId="6CC4F56E" w14:textId="16250C42" w:rsidR="00537C5C" w:rsidRPr="00763684" w:rsidRDefault="00537C5C" w:rsidP="00F97B8B">
            <w:pPr>
              <w:pStyle w:val="ListParagraph"/>
              <w:numPr>
                <w:ilvl w:val="0"/>
                <w:numId w:val="24"/>
              </w:numPr>
              <w:spacing w:before="40" w:after="0" w:line="240" w:lineRule="auto"/>
              <w:rPr>
                <w:rFonts w:asciiTheme="majorHAnsi" w:hAnsiTheme="majorHAnsi" w:cstheme="minorHAnsi"/>
                <w:bCs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When opioids are prescribed to individuals with a history of substance use, employ all appropriate opioid risk mitigation strategies (</w:t>
            </w:r>
            <w:r w:rsidRPr="00523454">
              <w:rPr>
                <w:rFonts w:asciiTheme="majorHAnsi" w:hAnsiTheme="majorHAnsi" w:cstheme="minorHAnsi"/>
                <w:sz w:val="22"/>
              </w:rPr>
              <w:t>see</w:t>
            </w:r>
            <w:r w:rsidRPr="00BA7379">
              <w:rPr>
                <w:rFonts w:asciiTheme="majorHAnsi" w:hAnsiTheme="majorHAnsi" w:cstheme="minorHAnsi"/>
                <w:i/>
                <w:sz w:val="22"/>
              </w:rPr>
              <w:t xml:space="preserve"> “Additional Risk </w:t>
            </w:r>
            <w:r>
              <w:rPr>
                <w:rFonts w:asciiTheme="majorHAnsi" w:hAnsiTheme="majorHAnsi" w:cstheme="minorHAnsi"/>
                <w:i/>
                <w:sz w:val="22"/>
              </w:rPr>
              <w:t>Mitigation Strategie</w:t>
            </w:r>
            <w:r w:rsidRPr="00BA7379">
              <w:rPr>
                <w:rFonts w:asciiTheme="majorHAnsi" w:hAnsiTheme="majorHAnsi" w:cstheme="minorHAnsi"/>
                <w:i/>
                <w:sz w:val="22"/>
              </w:rPr>
              <w:t xml:space="preserve">s” </w:t>
            </w:r>
            <w:r w:rsidRPr="00523454">
              <w:rPr>
                <w:rFonts w:asciiTheme="majorHAnsi" w:hAnsiTheme="majorHAnsi" w:cstheme="minorHAnsi"/>
                <w:sz w:val="22"/>
              </w:rPr>
              <w:t>in Focus Area #1 above for more details</w:t>
            </w:r>
            <w:r>
              <w:rPr>
                <w:rFonts w:asciiTheme="majorHAnsi" w:hAnsiTheme="majorHAnsi" w:cstheme="minorHAnsi"/>
                <w:sz w:val="22"/>
              </w:rPr>
              <w:t xml:space="preserve">). </w:t>
            </w:r>
          </w:p>
        </w:tc>
      </w:tr>
    </w:tbl>
    <w:p w14:paraId="5F270328" w14:textId="77777777" w:rsidR="0064574C" w:rsidRDefault="0064574C" w:rsidP="00BE70A6">
      <w:pPr>
        <w:spacing w:before="40" w:after="0" w:line="240" w:lineRule="auto"/>
        <w:rPr>
          <w:rFonts w:asciiTheme="majorHAnsi" w:hAnsiTheme="majorHAnsi" w:cstheme="minorHAnsi"/>
          <w:bCs/>
          <w:sz w:val="22"/>
        </w:rPr>
      </w:pPr>
    </w:p>
    <w:p w14:paraId="26294D1A" w14:textId="77777777" w:rsidR="0064574C" w:rsidRPr="0001755A" w:rsidRDefault="0064574C" w:rsidP="0001755A">
      <w:pPr>
        <w:spacing w:after="0" w:line="240" w:lineRule="auto"/>
        <w:rPr>
          <w:rFonts w:asciiTheme="majorHAnsi" w:hAnsiTheme="majorHAnsi"/>
          <w:sz w:val="19"/>
          <w:szCs w:val="19"/>
        </w:rPr>
      </w:pPr>
      <w:r w:rsidRPr="0001755A">
        <w:rPr>
          <w:rFonts w:asciiTheme="majorHAnsi" w:hAnsiTheme="majorHAnsi"/>
          <w:b/>
          <w:sz w:val="19"/>
          <w:szCs w:val="19"/>
        </w:rPr>
        <w:t>References/Resources</w:t>
      </w:r>
    </w:p>
    <w:p w14:paraId="197FA28F" w14:textId="77777777" w:rsidR="0064574C" w:rsidRPr="0001755A" w:rsidRDefault="0064574C" w:rsidP="0001755A">
      <w:pPr>
        <w:pStyle w:val="BalloonText"/>
        <w:numPr>
          <w:ilvl w:val="0"/>
          <w:numId w:val="12"/>
        </w:numPr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Screening for substance use</w:t>
      </w:r>
    </w:p>
    <w:p w14:paraId="508BFFB2" w14:textId="77777777" w:rsidR="0064574C" w:rsidRPr="0001755A" w:rsidRDefault="0064574C" w:rsidP="0001755A">
      <w:pPr>
        <w:pStyle w:val="BalloonText"/>
        <w:numPr>
          <w:ilvl w:val="0"/>
          <w:numId w:val="15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Evidence-based substance use screening tools: </w:t>
      </w:r>
      <w:hyperlink r:id="rId46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https://www.drugabuse.gov/nidamed-medical-health-professionals/tool-resources-your-practice/screening-assessment-drug-testing-resources/chart-evidence-based-screening-tools</w:t>
        </w:r>
      </w:hyperlink>
      <w:r w:rsidRPr="0001755A">
        <w:rPr>
          <w:rFonts w:asciiTheme="majorHAnsi" w:hAnsiTheme="majorHAnsi" w:cstheme="minorHAnsi"/>
          <w:sz w:val="19"/>
          <w:szCs w:val="19"/>
        </w:rPr>
        <w:t xml:space="preserve"> </w:t>
      </w:r>
    </w:p>
    <w:p w14:paraId="25DD2EE6" w14:textId="77777777" w:rsidR="0064574C" w:rsidRPr="0001755A" w:rsidRDefault="0064574C" w:rsidP="0001755A">
      <w:pPr>
        <w:pStyle w:val="BalloonText"/>
        <w:numPr>
          <w:ilvl w:val="0"/>
          <w:numId w:val="12"/>
        </w:numPr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Treatment for substance use in primary care settings</w:t>
      </w:r>
    </w:p>
    <w:p w14:paraId="315D023A" w14:textId="215A54F9" w:rsidR="0064574C" w:rsidRPr="0001755A" w:rsidRDefault="0064574C" w:rsidP="0001755A">
      <w:pPr>
        <w:pStyle w:val="BalloonText"/>
        <w:numPr>
          <w:ilvl w:val="0"/>
          <w:numId w:val="36"/>
        </w:numPr>
        <w:ind w:left="1080"/>
        <w:contextualSpacing/>
        <w:rPr>
          <w:rStyle w:val="Hyperlink"/>
          <w:rFonts w:asciiTheme="majorHAnsi" w:hAnsiTheme="majorHAnsi" w:cstheme="minorHAnsi"/>
          <w:color w:val="auto"/>
          <w:sz w:val="19"/>
          <w:szCs w:val="19"/>
          <w:u w:val="none"/>
        </w:rPr>
      </w:pPr>
      <w:r w:rsidRPr="0001755A">
        <w:rPr>
          <w:rStyle w:val="Hyperlink"/>
          <w:rFonts w:asciiTheme="majorHAnsi" w:hAnsiTheme="majorHAnsi" w:cstheme="minorHAnsi"/>
          <w:color w:val="auto"/>
          <w:sz w:val="19"/>
          <w:szCs w:val="19"/>
          <w:u w:val="none"/>
        </w:rPr>
        <w:t xml:space="preserve">Buprenorphine </w:t>
      </w:r>
      <w:r w:rsidRPr="0001755A">
        <w:rPr>
          <w:rFonts w:asciiTheme="majorHAnsi" w:hAnsiTheme="majorHAnsi"/>
          <w:sz w:val="19"/>
          <w:szCs w:val="19"/>
        </w:rPr>
        <w:t xml:space="preserve">X-Waiver certification training: </w:t>
      </w:r>
      <w:hyperlink r:id="rId47" w:history="1">
        <w:r w:rsidRPr="0001755A">
          <w:rPr>
            <w:rStyle w:val="Hyperlink"/>
            <w:rFonts w:asciiTheme="majorHAnsi" w:hAnsiTheme="majorHAnsi"/>
            <w:sz w:val="19"/>
            <w:szCs w:val="19"/>
          </w:rPr>
          <w:t>https://www.samhsa.gov/medication-assisted-treatment/training-resources/buprenorphine-physician-training</w:t>
        </w:r>
      </w:hyperlink>
    </w:p>
    <w:p w14:paraId="582B2849" w14:textId="77777777" w:rsidR="0064574C" w:rsidRPr="0001755A" w:rsidRDefault="0064574C" w:rsidP="0001755A">
      <w:pPr>
        <w:pStyle w:val="BalloonText"/>
        <w:numPr>
          <w:ilvl w:val="0"/>
          <w:numId w:val="36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National Council for Behavioral Health: </w:t>
      </w:r>
      <w:hyperlink r:id="rId48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https://www.thenationalcouncil.org/wp-content/uploads/2018/03/021518_NCBH_ASPTReport-FINAL.pdf</w:t>
        </w:r>
      </w:hyperlink>
    </w:p>
    <w:p w14:paraId="0AB561B9" w14:textId="77777777" w:rsidR="0064574C" w:rsidRPr="0001755A" w:rsidRDefault="0064574C" w:rsidP="0001755A">
      <w:pPr>
        <w:pStyle w:val="BalloonText"/>
        <w:numPr>
          <w:ilvl w:val="0"/>
          <w:numId w:val="36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lastRenderedPageBreak/>
        <w:t xml:space="preserve">Agency for Healthcare Research and Quality (AHRQ): </w:t>
      </w:r>
      <w:hyperlink r:id="rId49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http://effectivehealthcare.ahrq.gov/sites/default/files/pdf/opioid-use-disorder_technical-brief.pdf</w:t>
        </w:r>
      </w:hyperlink>
    </w:p>
    <w:p w14:paraId="6B72AA94" w14:textId="77777777" w:rsidR="0064574C" w:rsidRPr="0001755A" w:rsidRDefault="0064574C" w:rsidP="0001755A">
      <w:pPr>
        <w:pStyle w:val="BalloonText"/>
        <w:numPr>
          <w:ilvl w:val="0"/>
          <w:numId w:val="36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Treating Addiction in the Primary Care Safety Net: </w:t>
      </w:r>
      <w:hyperlink r:id="rId50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https://tapcprogram.com/category/mat-tools/</w:t>
        </w:r>
      </w:hyperlink>
      <w:r w:rsidRPr="0001755A">
        <w:rPr>
          <w:rFonts w:asciiTheme="majorHAnsi" w:hAnsiTheme="majorHAnsi" w:cstheme="minorHAnsi"/>
          <w:sz w:val="19"/>
          <w:szCs w:val="19"/>
        </w:rPr>
        <w:t xml:space="preserve"> </w:t>
      </w:r>
    </w:p>
    <w:p w14:paraId="2906EEB2" w14:textId="77777777" w:rsidR="0064574C" w:rsidRPr="0001755A" w:rsidRDefault="0064574C" w:rsidP="0001755A">
      <w:pPr>
        <w:pStyle w:val="BalloonText"/>
        <w:numPr>
          <w:ilvl w:val="0"/>
          <w:numId w:val="12"/>
        </w:numPr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Treatment for substance use in hospital settings</w:t>
      </w:r>
    </w:p>
    <w:p w14:paraId="09FFF11E" w14:textId="77777777" w:rsidR="0064574C" w:rsidRPr="0001755A" w:rsidRDefault="0064574C" w:rsidP="0001755A">
      <w:pPr>
        <w:pStyle w:val="BalloonText"/>
        <w:numPr>
          <w:ilvl w:val="0"/>
          <w:numId w:val="37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Project SHOUT: </w:t>
      </w:r>
      <w:hyperlink r:id="rId51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https://www.projectshout.org/</w:t>
        </w:r>
      </w:hyperlink>
      <w:r w:rsidRPr="0001755A">
        <w:rPr>
          <w:rFonts w:asciiTheme="majorHAnsi" w:hAnsiTheme="majorHAnsi" w:cstheme="minorHAnsi"/>
          <w:sz w:val="19"/>
          <w:szCs w:val="19"/>
        </w:rPr>
        <w:t xml:space="preserve"> </w:t>
      </w:r>
    </w:p>
    <w:p w14:paraId="3AD1C631" w14:textId="77777777" w:rsidR="0064574C" w:rsidRPr="0001755A" w:rsidRDefault="0064574C" w:rsidP="0001755A">
      <w:pPr>
        <w:pStyle w:val="BalloonText"/>
        <w:numPr>
          <w:ilvl w:val="0"/>
          <w:numId w:val="12"/>
        </w:numPr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Treatment for substance use in emergency department settings</w:t>
      </w:r>
    </w:p>
    <w:p w14:paraId="1CAD2BC8" w14:textId="77777777" w:rsidR="0064574C" w:rsidRPr="0001755A" w:rsidRDefault="0064574C" w:rsidP="0001755A">
      <w:pPr>
        <w:pStyle w:val="BalloonText"/>
        <w:numPr>
          <w:ilvl w:val="0"/>
          <w:numId w:val="37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ED-BRIDGE: </w:t>
      </w:r>
      <w:hyperlink r:id="rId52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https://ed-bridge.org/</w:t>
        </w:r>
      </w:hyperlink>
      <w:r w:rsidRPr="0001755A">
        <w:rPr>
          <w:rFonts w:asciiTheme="majorHAnsi" w:hAnsiTheme="majorHAnsi" w:cstheme="minorHAnsi"/>
          <w:sz w:val="19"/>
          <w:szCs w:val="19"/>
        </w:rPr>
        <w:t xml:space="preserve"> </w:t>
      </w:r>
    </w:p>
    <w:p w14:paraId="3A75534D" w14:textId="6B10C4E4" w:rsidR="0064574C" w:rsidRPr="0001755A" w:rsidRDefault="0064574C" w:rsidP="0001755A">
      <w:pPr>
        <w:pStyle w:val="BalloonText"/>
        <w:numPr>
          <w:ilvl w:val="0"/>
          <w:numId w:val="12"/>
        </w:numPr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 xml:space="preserve">Case </w:t>
      </w:r>
      <w:r w:rsidR="00127448" w:rsidRPr="0001755A">
        <w:rPr>
          <w:rFonts w:asciiTheme="majorHAnsi" w:hAnsiTheme="majorHAnsi" w:cstheme="minorHAnsi"/>
          <w:sz w:val="19"/>
          <w:szCs w:val="19"/>
        </w:rPr>
        <w:t>c</w:t>
      </w:r>
      <w:r w:rsidRPr="0001755A">
        <w:rPr>
          <w:rFonts w:asciiTheme="majorHAnsi" w:hAnsiTheme="majorHAnsi" w:cstheme="minorHAnsi"/>
          <w:sz w:val="19"/>
          <w:szCs w:val="19"/>
        </w:rPr>
        <w:t>onsultation for substance use</w:t>
      </w:r>
    </w:p>
    <w:p w14:paraId="42097AED" w14:textId="78F67CDE" w:rsidR="0064574C" w:rsidRPr="0001755A" w:rsidRDefault="0064574C" w:rsidP="0001755A">
      <w:pPr>
        <w:pStyle w:val="BalloonText"/>
        <w:numPr>
          <w:ilvl w:val="0"/>
          <w:numId w:val="13"/>
        </w:numPr>
        <w:ind w:left="1080"/>
        <w:contextualSpacing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The University of California, San Francisco Clinical Consultation Center is available for free case consultations related to substance use</w:t>
      </w:r>
      <w:r w:rsidR="00E67783" w:rsidRPr="0001755A">
        <w:rPr>
          <w:rFonts w:asciiTheme="majorHAnsi" w:hAnsiTheme="majorHAnsi"/>
          <w:sz w:val="19"/>
          <w:szCs w:val="19"/>
        </w:rPr>
        <w:t xml:space="preserve">: </w:t>
      </w:r>
      <w:hyperlink r:id="rId53" w:history="1">
        <w:r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https://nccc.ucsf.edu/clinician-consultation/substance-use-management/</w:t>
        </w:r>
      </w:hyperlink>
      <w:r w:rsidRPr="0001755A">
        <w:rPr>
          <w:rFonts w:asciiTheme="majorHAnsi" w:hAnsiTheme="majorHAnsi" w:cstheme="minorHAnsi"/>
          <w:sz w:val="19"/>
          <w:szCs w:val="19"/>
        </w:rPr>
        <w:t xml:space="preserve"> or (855) 300-3595.</w:t>
      </w:r>
    </w:p>
    <w:p w14:paraId="70622174" w14:textId="6653289C" w:rsidR="00C11EDA" w:rsidRPr="00255681" w:rsidRDefault="00127448" w:rsidP="00255681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sz w:val="19"/>
          <w:szCs w:val="19"/>
        </w:rPr>
      </w:pPr>
      <w:r w:rsidRPr="0001755A">
        <w:rPr>
          <w:rFonts w:asciiTheme="majorHAnsi" w:hAnsiTheme="majorHAnsi" w:cstheme="minorHAnsi"/>
          <w:sz w:val="19"/>
          <w:szCs w:val="19"/>
        </w:rPr>
        <w:t>L</w:t>
      </w:r>
      <w:r w:rsidR="001559DC" w:rsidRPr="0001755A">
        <w:rPr>
          <w:rFonts w:asciiTheme="majorHAnsi" w:hAnsiTheme="majorHAnsi" w:cstheme="minorHAnsi"/>
          <w:sz w:val="19"/>
          <w:szCs w:val="19"/>
        </w:rPr>
        <w:t xml:space="preserve">egal information on providing buprenorphine to medically hospitalized inpatients: </w:t>
      </w:r>
      <w:hyperlink r:id="rId54" w:history="1">
        <w:r w:rsidR="00366EEF" w:rsidRPr="0001755A">
          <w:rPr>
            <w:rStyle w:val="Hyperlink"/>
            <w:rFonts w:asciiTheme="majorHAnsi" w:hAnsiTheme="majorHAnsi" w:cstheme="minorHAnsi"/>
            <w:sz w:val="19"/>
            <w:szCs w:val="19"/>
          </w:rPr>
          <w:t>https://www.samhsa.gov/programs-campaigns/medication-assisted-treatment/legislation-regulations-guidelines/special</w:t>
        </w:r>
      </w:hyperlink>
      <w:r w:rsidR="00366EEF" w:rsidRPr="0001755A">
        <w:rPr>
          <w:rFonts w:asciiTheme="majorHAnsi" w:hAnsiTheme="majorHAnsi" w:cstheme="minorHAnsi"/>
          <w:sz w:val="19"/>
          <w:szCs w:val="19"/>
        </w:rPr>
        <w:t xml:space="preserve"> </w:t>
      </w:r>
    </w:p>
    <w:sectPr w:rsidR="00C11EDA" w:rsidRPr="00255681" w:rsidSect="005F4733">
      <w:headerReference w:type="default" r:id="rId55"/>
      <w:footerReference w:type="even" r:id="rId56"/>
      <w:footerReference w:type="default" r:id="rId5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1D6C" w14:textId="77777777" w:rsidR="007A13A7" w:rsidRDefault="007A13A7" w:rsidP="005F4733">
      <w:pPr>
        <w:spacing w:after="0" w:line="240" w:lineRule="auto"/>
      </w:pPr>
      <w:r>
        <w:separator/>
      </w:r>
    </w:p>
  </w:endnote>
  <w:endnote w:type="continuationSeparator" w:id="0">
    <w:p w14:paraId="6A3BA732" w14:textId="77777777" w:rsidR="007A13A7" w:rsidRDefault="007A13A7" w:rsidP="005F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1287" w14:textId="77777777" w:rsidR="007A7603" w:rsidRDefault="007A7603" w:rsidP="005F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DAF5D" w14:textId="77777777" w:rsidR="007A7603" w:rsidRDefault="007A7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2645" w14:textId="47EA25F0" w:rsidR="007A7603" w:rsidRPr="005F4733" w:rsidRDefault="007A7603" w:rsidP="005F4733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Theme="majorHAnsi" w:hAnsiTheme="majorHAnsi"/>
        <w:sz w:val="18"/>
        <w:szCs w:val="18"/>
      </w:rPr>
    </w:pPr>
    <w:r w:rsidRPr="005F4733">
      <w:rPr>
        <w:rStyle w:val="PageNumber"/>
        <w:rFonts w:asciiTheme="majorHAnsi" w:hAnsiTheme="majorHAnsi"/>
        <w:sz w:val="18"/>
        <w:szCs w:val="18"/>
      </w:rPr>
      <w:fldChar w:fldCharType="begin"/>
    </w:r>
    <w:r w:rsidRPr="005F4733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F4733">
      <w:rPr>
        <w:rStyle w:val="PageNumber"/>
        <w:rFonts w:asciiTheme="majorHAnsi" w:hAnsiTheme="majorHAnsi"/>
        <w:sz w:val="18"/>
        <w:szCs w:val="18"/>
      </w:rPr>
      <w:fldChar w:fldCharType="separate"/>
    </w:r>
    <w:r w:rsidR="00235021">
      <w:rPr>
        <w:rStyle w:val="PageNumber"/>
        <w:rFonts w:asciiTheme="majorHAnsi" w:hAnsiTheme="majorHAnsi"/>
        <w:noProof/>
        <w:sz w:val="18"/>
        <w:szCs w:val="18"/>
      </w:rPr>
      <w:t>1</w:t>
    </w:r>
    <w:r w:rsidRPr="005F4733">
      <w:rPr>
        <w:rStyle w:val="PageNumber"/>
        <w:rFonts w:asciiTheme="majorHAnsi" w:hAnsiTheme="majorHAnsi"/>
        <w:sz w:val="18"/>
        <w:szCs w:val="18"/>
      </w:rPr>
      <w:fldChar w:fldCharType="end"/>
    </w:r>
  </w:p>
  <w:p w14:paraId="565CD29F" w14:textId="77777777" w:rsidR="007A7603" w:rsidRPr="005F4733" w:rsidRDefault="007A7603" w:rsidP="005F4733">
    <w:pPr>
      <w:pStyle w:val="Footer"/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79BD" w14:textId="77777777" w:rsidR="007A13A7" w:rsidRDefault="007A13A7" w:rsidP="005F4733">
      <w:pPr>
        <w:spacing w:after="0" w:line="240" w:lineRule="auto"/>
      </w:pPr>
      <w:r>
        <w:separator/>
      </w:r>
    </w:p>
  </w:footnote>
  <w:footnote w:type="continuationSeparator" w:id="0">
    <w:p w14:paraId="603780CB" w14:textId="77777777" w:rsidR="007A13A7" w:rsidRDefault="007A13A7" w:rsidP="005F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5822" w14:textId="0BD64504" w:rsidR="007A7603" w:rsidRPr="005F4733" w:rsidRDefault="007A7603" w:rsidP="000B244E">
    <w:pPr>
      <w:pStyle w:val="Header"/>
      <w:spacing w:after="0" w:line="240" w:lineRule="auto"/>
      <w:rPr>
        <w:rFonts w:asciiTheme="majorHAnsi" w:hAnsiTheme="maj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AC6"/>
    <w:multiLevelType w:val="hybridMultilevel"/>
    <w:tmpl w:val="2AB8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EBB"/>
    <w:multiLevelType w:val="hybridMultilevel"/>
    <w:tmpl w:val="244CEA24"/>
    <w:lvl w:ilvl="0" w:tplc="244A8A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2A0D30"/>
    <w:multiLevelType w:val="hybridMultilevel"/>
    <w:tmpl w:val="5A445EDC"/>
    <w:lvl w:ilvl="0" w:tplc="137260F8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D950EB"/>
    <w:multiLevelType w:val="hybridMultilevel"/>
    <w:tmpl w:val="A89C1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9B675E"/>
    <w:multiLevelType w:val="hybridMultilevel"/>
    <w:tmpl w:val="89AACEF0"/>
    <w:lvl w:ilvl="0" w:tplc="244A8A5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1A570C3"/>
    <w:multiLevelType w:val="hybridMultilevel"/>
    <w:tmpl w:val="8468F14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F03C91"/>
    <w:multiLevelType w:val="hybridMultilevel"/>
    <w:tmpl w:val="A1001A38"/>
    <w:lvl w:ilvl="0" w:tplc="7B7492C8">
      <w:start w:val="2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C94C55"/>
    <w:multiLevelType w:val="hybridMultilevel"/>
    <w:tmpl w:val="7AF2FD9E"/>
    <w:lvl w:ilvl="0" w:tplc="7B7492C8">
      <w:start w:val="2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463C5"/>
    <w:multiLevelType w:val="hybridMultilevel"/>
    <w:tmpl w:val="477610AC"/>
    <w:lvl w:ilvl="0" w:tplc="D234B6A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578A"/>
    <w:multiLevelType w:val="hybridMultilevel"/>
    <w:tmpl w:val="128E2D8A"/>
    <w:lvl w:ilvl="0" w:tplc="244A8A5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C9C150A"/>
    <w:multiLevelType w:val="hybridMultilevel"/>
    <w:tmpl w:val="71F2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05DB"/>
    <w:multiLevelType w:val="hybridMultilevel"/>
    <w:tmpl w:val="B2F2992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737570"/>
    <w:multiLevelType w:val="hybridMultilevel"/>
    <w:tmpl w:val="D7FEB29C"/>
    <w:lvl w:ilvl="0" w:tplc="7B7492C8">
      <w:start w:val="2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0F572FB"/>
    <w:multiLevelType w:val="hybridMultilevel"/>
    <w:tmpl w:val="30548998"/>
    <w:lvl w:ilvl="0" w:tplc="7B7492C8">
      <w:start w:val="2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8E2F1A"/>
    <w:multiLevelType w:val="hybridMultilevel"/>
    <w:tmpl w:val="11B6D89A"/>
    <w:lvl w:ilvl="0" w:tplc="2F7270F2">
      <w:start w:val="1"/>
      <w:numFmt w:val="decimal"/>
      <w:lvlText w:val="%1."/>
      <w:lvlJc w:val="left"/>
      <w:pPr>
        <w:ind w:left="810" w:hanging="360"/>
      </w:pPr>
      <w:rPr>
        <w:b w:val="0"/>
        <w:sz w:val="20"/>
        <w:szCs w:val="20"/>
      </w:rPr>
    </w:lvl>
    <w:lvl w:ilvl="1" w:tplc="7B7492C8">
      <w:start w:val="2"/>
      <w:numFmt w:val="bullet"/>
      <w:lvlText w:val="-"/>
      <w:lvlJc w:val="left"/>
      <w:pPr>
        <w:ind w:left="1530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A6D14F4"/>
    <w:multiLevelType w:val="hybridMultilevel"/>
    <w:tmpl w:val="B8F87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2226FB"/>
    <w:multiLevelType w:val="hybridMultilevel"/>
    <w:tmpl w:val="AC6E9B16"/>
    <w:lvl w:ilvl="0" w:tplc="137260F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D384A39"/>
    <w:multiLevelType w:val="hybridMultilevel"/>
    <w:tmpl w:val="556433C4"/>
    <w:lvl w:ilvl="0" w:tplc="ECC25D8A">
      <w:start w:val="1"/>
      <w:numFmt w:val="decimal"/>
      <w:lvlText w:val="%1."/>
      <w:lvlJc w:val="left"/>
      <w:pPr>
        <w:ind w:left="810" w:hanging="360"/>
      </w:pPr>
      <w:rPr>
        <w:b w:val="0"/>
        <w:sz w:val="20"/>
        <w:szCs w:val="20"/>
      </w:rPr>
    </w:lvl>
    <w:lvl w:ilvl="1" w:tplc="7B7492C8">
      <w:start w:val="2"/>
      <w:numFmt w:val="bullet"/>
      <w:lvlText w:val="-"/>
      <w:lvlJc w:val="left"/>
      <w:pPr>
        <w:ind w:left="1530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F6837B6"/>
    <w:multiLevelType w:val="hybridMultilevel"/>
    <w:tmpl w:val="128E2D8A"/>
    <w:lvl w:ilvl="0" w:tplc="244A8A5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1493CA9"/>
    <w:multiLevelType w:val="hybridMultilevel"/>
    <w:tmpl w:val="B3E026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922F98"/>
    <w:multiLevelType w:val="hybridMultilevel"/>
    <w:tmpl w:val="241CCE0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42741A"/>
    <w:multiLevelType w:val="hybridMultilevel"/>
    <w:tmpl w:val="8FCE5158"/>
    <w:lvl w:ilvl="0" w:tplc="ECC25D8A">
      <w:start w:val="1"/>
      <w:numFmt w:val="decimal"/>
      <w:lvlText w:val="%1."/>
      <w:lvlJc w:val="left"/>
      <w:pPr>
        <w:ind w:left="810" w:hanging="360"/>
      </w:pPr>
      <w:rPr>
        <w:b w:val="0"/>
        <w:sz w:val="20"/>
        <w:szCs w:val="20"/>
      </w:rPr>
    </w:lvl>
    <w:lvl w:ilvl="1" w:tplc="7B7492C8">
      <w:start w:val="2"/>
      <w:numFmt w:val="bullet"/>
      <w:lvlText w:val="-"/>
      <w:lvlJc w:val="left"/>
      <w:pPr>
        <w:ind w:left="1530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4715897"/>
    <w:multiLevelType w:val="hybridMultilevel"/>
    <w:tmpl w:val="3F089AB6"/>
    <w:lvl w:ilvl="0" w:tplc="0409000F">
      <w:start w:val="1"/>
      <w:numFmt w:val="decimal"/>
      <w:lvlText w:val="%1."/>
      <w:lvlJc w:val="left"/>
      <w:pPr>
        <w:ind w:left="615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B4128EF8">
      <w:start w:val="1"/>
      <w:numFmt w:val="decimal"/>
      <w:lvlText w:val="%4."/>
      <w:lvlJc w:val="left"/>
      <w:pPr>
        <w:ind w:left="81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448143DA"/>
    <w:multiLevelType w:val="hybridMultilevel"/>
    <w:tmpl w:val="AFE223A2"/>
    <w:lvl w:ilvl="0" w:tplc="244A8A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6171F71"/>
    <w:multiLevelType w:val="hybridMultilevel"/>
    <w:tmpl w:val="4F282174"/>
    <w:lvl w:ilvl="0" w:tplc="244A8A5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6EB7A6C"/>
    <w:multiLevelType w:val="hybridMultilevel"/>
    <w:tmpl w:val="2A9C30E6"/>
    <w:lvl w:ilvl="0" w:tplc="445CF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414"/>
    <w:multiLevelType w:val="hybridMultilevel"/>
    <w:tmpl w:val="4C70C10E"/>
    <w:lvl w:ilvl="0" w:tplc="D2F80E6A">
      <w:start w:val="10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A683EAA"/>
    <w:multiLevelType w:val="hybridMultilevel"/>
    <w:tmpl w:val="75E2F6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B6C39AC"/>
    <w:multiLevelType w:val="hybridMultilevel"/>
    <w:tmpl w:val="0E5C3404"/>
    <w:lvl w:ilvl="0" w:tplc="935E1E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D141E"/>
    <w:multiLevelType w:val="hybridMultilevel"/>
    <w:tmpl w:val="F04060C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10337BB"/>
    <w:multiLevelType w:val="hybridMultilevel"/>
    <w:tmpl w:val="7868A700"/>
    <w:lvl w:ilvl="0" w:tplc="7B7492C8">
      <w:start w:val="2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5761B"/>
    <w:multiLevelType w:val="hybridMultilevel"/>
    <w:tmpl w:val="9796C4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4F5A2C"/>
    <w:multiLevelType w:val="hybridMultilevel"/>
    <w:tmpl w:val="10248E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43459D8"/>
    <w:multiLevelType w:val="hybridMultilevel"/>
    <w:tmpl w:val="E6D062B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802C53"/>
    <w:multiLevelType w:val="hybridMultilevel"/>
    <w:tmpl w:val="7084E962"/>
    <w:lvl w:ilvl="0" w:tplc="7B7492C8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0A47E3"/>
    <w:multiLevelType w:val="hybridMultilevel"/>
    <w:tmpl w:val="0E2E534A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8441F24"/>
    <w:multiLevelType w:val="hybridMultilevel"/>
    <w:tmpl w:val="C59C6AE6"/>
    <w:lvl w:ilvl="0" w:tplc="AC34D374">
      <w:start w:val="10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86E644D"/>
    <w:multiLevelType w:val="hybridMultilevel"/>
    <w:tmpl w:val="9FDEAC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0"/>
  </w:num>
  <w:num w:numId="5">
    <w:abstractNumId w:val="10"/>
  </w:num>
  <w:num w:numId="6">
    <w:abstractNumId w:val="37"/>
  </w:num>
  <w:num w:numId="7">
    <w:abstractNumId w:val="8"/>
  </w:num>
  <w:num w:numId="8">
    <w:abstractNumId w:val="20"/>
  </w:num>
  <w:num w:numId="9">
    <w:abstractNumId w:val="1"/>
  </w:num>
  <w:num w:numId="10">
    <w:abstractNumId w:val="36"/>
  </w:num>
  <w:num w:numId="11">
    <w:abstractNumId w:val="26"/>
  </w:num>
  <w:num w:numId="12">
    <w:abstractNumId w:val="25"/>
  </w:num>
  <w:num w:numId="13">
    <w:abstractNumId w:val="7"/>
  </w:num>
  <w:num w:numId="14">
    <w:abstractNumId w:val="29"/>
  </w:num>
  <w:num w:numId="15">
    <w:abstractNumId w:val="12"/>
  </w:num>
  <w:num w:numId="16">
    <w:abstractNumId w:val="11"/>
  </w:num>
  <w:num w:numId="17">
    <w:abstractNumId w:val="33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  <w:num w:numId="22">
    <w:abstractNumId w:val="27"/>
  </w:num>
  <w:num w:numId="23">
    <w:abstractNumId w:val="23"/>
  </w:num>
  <w:num w:numId="24">
    <w:abstractNumId w:val="18"/>
  </w:num>
  <w:num w:numId="25">
    <w:abstractNumId w:val="16"/>
  </w:num>
  <w:num w:numId="26">
    <w:abstractNumId w:val="2"/>
  </w:num>
  <w:num w:numId="27">
    <w:abstractNumId w:val="31"/>
  </w:num>
  <w:num w:numId="28">
    <w:abstractNumId w:val="35"/>
  </w:num>
  <w:num w:numId="29">
    <w:abstractNumId w:val="32"/>
  </w:num>
  <w:num w:numId="30">
    <w:abstractNumId w:val="14"/>
  </w:num>
  <w:num w:numId="31">
    <w:abstractNumId w:val="17"/>
  </w:num>
  <w:num w:numId="32">
    <w:abstractNumId w:val="21"/>
  </w:num>
  <w:num w:numId="33">
    <w:abstractNumId w:val="3"/>
  </w:num>
  <w:num w:numId="34">
    <w:abstractNumId w:val="15"/>
  </w:num>
  <w:num w:numId="35">
    <w:abstractNumId w:val="34"/>
  </w:num>
  <w:num w:numId="36">
    <w:abstractNumId w:val="6"/>
  </w:num>
  <w:num w:numId="37">
    <w:abstractNumId w:val="13"/>
  </w:num>
  <w:num w:numId="38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33"/>
    <w:rsid w:val="0001755A"/>
    <w:rsid w:val="00037995"/>
    <w:rsid w:val="00041ECE"/>
    <w:rsid w:val="00044D13"/>
    <w:rsid w:val="00054457"/>
    <w:rsid w:val="00055D53"/>
    <w:rsid w:val="000574B5"/>
    <w:rsid w:val="00092CFF"/>
    <w:rsid w:val="000A5EB6"/>
    <w:rsid w:val="000B244E"/>
    <w:rsid w:val="000B3DFA"/>
    <w:rsid w:val="000D0F3C"/>
    <w:rsid w:val="000D3353"/>
    <w:rsid w:val="000E5DDB"/>
    <w:rsid w:val="000F03CC"/>
    <w:rsid w:val="00113C1F"/>
    <w:rsid w:val="00117527"/>
    <w:rsid w:val="00127448"/>
    <w:rsid w:val="00135D48"/>
    <w:rsid w:val="001404D0"/>
    <w:rsid w:val="001431FD"/>
    <w:rsid w:val="00144C71"/>
    <w:rsid w:val="00153A76"/>
    <w:rsid w:val="001559DC"/>
    <w:rsid w:val="00167104"/>
    <w:rsid w:val="00183860"/>
    <w:rsid w:val="00193BF5"/>
    <w:rsid w:val="001A2661"/>
    <w:rsid w:val="001A699E"/>
    <w:rsid w:val="001B4054"/>
    <w:rsid w:val="001C46A0"/>
    <w:rsid w:val="001D0CEF"/>
    <w:rsid w:val="001D1343"/>
    <w:rsid w:val="00200A00"/>
    <w:rsid w:val="00205D82"/>
    <w:rsid w:val="00207919"/>
    <w:rsid w:val="002239D9"/>
    <w:rsid w:val="002326A2"/>
    <w:rsid w:val="00235021"/>
    <w:rsid w:val="002373DB"/>
    <w:rsid w:val="002467A4"/>
    <w:rsid w:val="00246AE8"/>
    <w:rsid w:val="00254E3C"/>
    <w:rsid w:val="00255681"/>
    <w:rsid w:val="00267787"/>
    <w:rsid w:val="0027531A"/>
    <w:rsid w:val="002943B1"/>
    <w:rsid w:val="002D63A1"/>
    <w:rsid w:val="002E5DFE"/>
    <w:rsid w:val="002F6911"/>
    <w:rsid w:val="00301851"/>
    <w:rsid w:val="00312CEA"/>
    <w:rsid w:val="003161D2"/>
    <w:rsid w:val="00317B0C"/>
    <w:rsid w:val="00337177"/>
    <w:rsid w:val="0036202D"/>
    <w:rsid w:val="00366EEF"/>
    <w:rsid w:val="0038230D"/>
    <w:rsid w:val="003935CC"/>
    <w:rsid w:val="003A44CC"/>
    <w:rsid w:val="003A4D51"/>
    <w:rsid w:val="003B3C62"/>
    <w:rsid w:val="003D0813"/>
    <w:rsid w:val="003D0F99"/>
    <w:rsid w:val="003D7F56"/>
    <w:rsid w:val="003E446B"/>
    <w:rsid w:val="003F2B5C"/>
    <w:rsid w:val="003F3E28"/>
    <w:rsid w:val="00403286"/>
    <w:rsid w:val="004116D8"/>
    <w:rsid w:val="004166F6"/>
    <w:rsid w:val="00416EA5"/>
    <w:rsid w:val="0042334F"/>
    <w:rsid w:val="00424D7A"/>
    <w:rsid w:val="004526FA"/>
    <w:rsid w:val="00453704"/>
    <w:rsid w:val="00457C98"/>
    <w:rsid w:val="00460BDA"/>
    <w:rsid w:val="004B3461"/>
    <w:rsid w:val="004B5848"/>
    <w:rsid w:val="004D14E4"/>
    <w:rsid w:val="004D7F1E"/>
    <w:rsid w:val="004E2032"/>
    <w:rsid w:val="004E4515"/>
    <w:rsid w:val="0050338A"/>
    <w:rsid w:val="005108E2"/>
    <w:rsid w:val="00521846"/>
    <w:rsid w:val="00523454"/>
    <w:rsid w:val="005250FF"/>
    <w:rsid w:val="0052597E"/>
    <w:rsid w:val="00525FC8"/>
    <w:rsid w:val="00527750"/>
    <w:rsid w:val="00531B8F"/>
    <w:rsid w:val="00532F84"/>
    <w:rsid w:val="00537C5C"/>
    <w:rsid w:val="005514B4"/>
    <w:rsid w:val="0055672E"/>
    <w:rsid w:val="005645C8"/>
    <w:rsid w:val="00564D5D"/>
    <w:rsid w:val="00574416"/>
    <w:rsid w:val="00574DCB"/>
    <w:rsid w:val="005A09C3"/>
    <w:rsid w:val="005A293A"/>
    <w:rsid w:val="005A2EFF"/>
    <w:rsid w:val="005B0F5D"/>
    <w:rsid w:val="005C5C82"/>
    <w:rsid w:val="005C69A0"/>
    <w:rsid w:val="005D0B7A"/>
    <w:rsid w:val="005F4733"/>
    <w:rsid w:val="0060102A"/>
    <w:rsid w:val="0060695F"/>
    <w:rsid w:val="0061240B"/>
    <w:rsid w:val="00617C35"/>
    <w:rsid w:val="00622089"/>
    <w:rsid w:val="006376BB"/>
    <w:rsid w:val="00640FA6"/>
    <w:rsid w:val="0064574C"/>
    <w:rsid w:val="0065081D"/>
    <w:rsid w:val="00685408"/>
    <w:rsid w:val="006A3EE5"/>
    <w:rsid w:val="006A65AB"/>
    <w:rsid w:val="006A7471"/>
    <w:rsid w:val="006E5A9D"/>
    <w:rsid w:val="006E76BE"/>
    <w:rsid w:val="00701BDD"/>
    <w:rsid w:val="007152F5"/>
    <w:rsid w:val="00745F6D"/>
    <w:rsid w:val="0074780B"/>
    <w:rsid w:val="00750A8F"/>
    <w:rsid w:val="007553E6"/>
    <w:rsid w:val="00755CEA"/>
    <w:rsid w:val="007564B6"/>
    <w:rsid w:val="00757FCC"/>
    <w:rsid w:val="00760E6F"/>
    <w:rsid w:val="00762E06"/>
    <w:rsid w:val="00763684"/>
    <w:rsid w:val="00773F41"/>
    <w:rsid w:val="007908E5"/>
    <w:rsid w:val="00793BA1"/>
    <w:rsid w:val="007A13A7"/>
    <w:rsid w:val="007A7603"/>
    <w:rsid w:val="007B6711"/>
    <w:rsid w:val="007B7CF2"/>
    <w:rsid w:val="007C12B6"/>
    <w:rsid w:val="007D4D72"/>
    <w:rsid w:val="007E2D4A"/>
    <w:rsid w:val="007F34BD"/>
    <w:rsid w:val="007F4301"/>
    <w:rsid w:val="00822436"/>
    <w:rsid w:val="00833562"/>
    <w:rsid w:val="008340BA"/>
    <w:rsid w:val="00834F23"/>
    <w:rsid w:val="00841CC5"/>
    <w:rsid w:val="008625E8"/>
    <w:rsid w:val="008B144D"/>
    <w:rsid w:val="008B1B11"/>
    <w:rsid w:val="008B1B84"/>
    <w:rsid w:val="008B2CC8"/>
    <w:rsid w:val="008C0848"/>
    <w:rsid w:val="008E2235"/>
    <w:rsid w:val="008E6E05"/>
    <w:rsid w:val="00914E24"/>
    <w:rsid w:val="00917F1F"/>
    <w:rsid w:val="00934A37"/>
    <w:rsid w:val="009516F2"/>
    <w:rsid w:val="00960E4F"/>
    <w:rsid w:val="009A2DB7"/>
    <w:rsid w:val="009A7763"/>
    <w:rsid w:val="009C0D1E"/>
    <w:rsid w:val="009C7E27"/>
    <w:rsid w:val="009E574B"/>
    <w:rsid w:val="009E5E87"/>
    <w:rsid w:val="009E5EF0"/>
    <w:rsid w:val="00A2200C"/>
    <w:rsid w:val="00A3023A"/>
    <w:rsid w:val="00A63FE8"/>
    <w:rsid w:val="00A74A91"/>
    <w:rsid w:val="00A7666E"/>
    <w:rsid w:val="00A776F9"/>
    <w:rsid w:val="00B07BDD"/>
    <w:rsid w:val="00B31047"/>
    <w:rsid w:val="00B4798C"/>
    <w:rsid w:val="00B62C0E"/>
    <w:rsid w:val="00B954D5"/>
    <w:rsid w:val="00B9660B"/>
    <w:rsid w:val="00B96679"/>
    <w:rsid w:val="00BA5BA5"/>
    <w:rsid w:val="00BA7379"/>
    <w:rsid w:val="00BC7D0A"/>
    <w:rsid w:val="00BD1742"/>
    <w:rsid w:val="00BD3257"/>
    <w:rsid w:val="00BD3538"/>
    <w:rsid w:val="00BD669B"/>
    <w:rsid w:val="00BE70A6"/>
    <w:rsid w:val="00C11EDA"/>
    <w:rsid w:val="00C3493B"/>
    <w:rsid w:val="00C42446"/>
    <w:rsid w:val="00C619FA"/>
    <w:rsid w:val="00C74507"/>
    <w:rsid w:val="00C87663"/>
    <w:rsid w:val="00C95DB3"/>
    <w:rsid w:val="00CB2A25"/>
    <w:rsid w:val="00CB4C03"/>
    <w:rsid w:val="00CC046A"/>
    <w:rsid w:val="00CD3F2B"/>
    <w:rsid w:val="00CD6643"/>
    <w:rsid w:val="00CE63E9"/>
    <w:rsid w:val="00CE682F"/>
    <w:rsid w:val="00D27668"/>
    <w:rsid w:val="00D4032A"/>
    <w:rsid w:val="00D458F2"/>
    <w:rsid w:val="00D54972"/>
    <w:rsid w:val="00D55FFB"/>
    <w:rsid w:val="00D6518F"/>
    <w:rsid w:val="00D74C0F"/>
    <w:rsid w:val="00D7665E"/>
    <w:rsid w:val="00D77AD3"/>
    <w:rsid w:val="00D844C1"/>
    <w:rsid w:val="00D93206"/>
    <w:rsid w:val="00DB2D20"/>
    <w:rsid w:val="00DB64CA"/>
    <w:rsid w:val="00DC311D"/>
    <w:rsid w:val="00DC4789"/>
    <w:rsid w:val="00DD7668"/>
    <w:rsid w:val="00DE7BD0"/>
    <w:rsid w:val="00DF1F4F"/>
    <w:rsid w:val="00E223CB"/>
    <w:rsid w:val="00E400E4"/>
    <w:rsid w:val="00E42B74"/>
    <w:rsid w:val="00E53EA1"/>
    <w:rsid w:val="00E67783"/>
    <w:rsid w:val="00EA0AF3"/>
    <w:rsid w:val="00EA31DD"/>
    <w:rsid w:val="00EB6318"/>
    <w:rsid w:val="00EB793A"/>
    <w:rsid w:val="00EC1D52"/>
    <w:rsid w:val="00ED69A6"/>
    <w:rsid w:val="00EE3AA6"/>
    <w:rsid w:val="00F00FE3"/>
    <w:rsid w:val="00F0453B"/>
    <w:rsid w:val="00F14A00"/>
    <w:rsid w:val="00F171FA"/>
    <w:rsid w:val="00F3540A"/>
    <w:rsid w:val="00F35487"/>
    <w:rsid w:val="00F6750A"/>
    <w:rsid w:val="00F741D8"/>
    <w:rsid w:val="00F767AB"/>
    <w:rsid w:val="00F80996"/>
    <w:rsid w:val="00F97B8B"/>
    <w:rsid w:val="00FA3098"/>
    <w:rsid w:val="00FC03CC"/>
    <w:rsid w:val="00FD303F"/>
    <w:rsid w:val="00FE492B"/>
    <w:rsid w:val="00FF0F72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E8F1A"/>
  <w14:defaultImageDpi w14:val="300"/>
  <w15:docId w15:val="{709AEF57-9E01-DF49-8A8B-D6413A2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fault"/>
    <w:qFormat/>
    <w:rsid w:val="005F4733"/>
    <w:pPr>
      <w:spacing w:after="160" w:line="259" w:lineRule="auto"/>
    </w:pPr>
    <w:rPr>
      <w:rFonts w:ascii="Arial" w:eastAsiaTheme="minorHAnsi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33"/>
  </w:style>
  <w:style w:type="paragraph" w:styleId="Footer">
    <w:name w:val="footer"/>
    <w:basedOn w:val="Normal"/>
    <w:link w:val="FooterChar"/>
    <w:uiPriority w:val="99"/>
    <w:unhideWhenUsed/>
    <w:rsid w:val="005F4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33"/>
  </w:style>
  <w:style w:type="character" w:customStyle="1" w:styleId="Heading1Char">
    <w:name w:val="Heading 1 Char"/>
    <w:basedOn w:val="DefaultParagraphFont"/>
    <w:link w:val="Heading1"/>
    <w:uiPriority w:val="9"/>
    <w:rsid w:val="005F4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mplatestyle">
    <w:name w:val="Template style"/>
    <w:basedOn w:val="DefaultParagraphFont"/>
    <w:uiPriority w:val="1"/>
    <w:rsid w:val="005F4733"/>
    <w:rPr>
      <w:rFonts w:ascii="Microsoft Tai Le" w:hAnsi="Microsoft Tai Le"/>
      <w:color w:val="FFFFFF" w:themeColor="background1"/>
      <w:sz w:val="28"/>
    </w:rPr>
  </w:style>
  <w:style w:type="paragraph" w:styleId="ListParagraph">
    <w:name w:val="List Paragraph"/>
    <w:basedOn w:val="Normal"/>
    <w:uiPriority w:val="34"/>
    <w:qFormat/>
    <w:rsid w:val="005F4733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5F4733"/>
    <w:rPr>
      <w:rFonts w:ascii="Microsoft New Tai Lue" w:eastAsiaTheme="minorHAnsi" w:hAnsi="Microsoft New Tai Lue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5F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F4733"/>
  </w:style>
  <w:style w:type="character" w:styleId="CommentReference">
    <w:name w:val="annotation reference"/>
    <w:basedOn w:val="DefaultParagraphFont"/>
    <w:uiPriority w:val="99"/>
    <w:semiHidden/>
    <w:unhideWhenUsed/>
    <w:rsid w:val="00532F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2F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F84"/>
    <w:rPr>
      <w:rFonts w:ascii="Arial" w:eastAsiaTheme="minorHAns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F84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32F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2F8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A25"/>
    <w:rPr>
      <w:color w:val="800080" w:themeColor="followedHyperlink"/>
      <w:u w:val="single"/>
    </w:rPr>
  </w:style>
  <w:style w:type="paragraph" w:customStyle="1" w:styleId="TemplateBodyMain">
    <w:name w:val="Template Body Main"/>
    <w:basedOn w:val="Normal"/>
    <w:link w:val="TemplateBodyMainChar"/>
    <w:qFormat/>
    <w:rsid w:val="00DC311D"/>
  </w:style>
  <w:style w:type="character" w:customStyle="1" w:styleId="TemplateBodyMainChar">
    <w:name w:val="Template Body Main Char"/>
    <w:basedOn w:val="DefaultParagraphFont"/>
    <w:link w:val="TemplateBodyMain"/>
    <w:rsid w:val="00DC311D"/>
    <w:rPr>
      <w:rFonts w:ascii="Arial" w:eastAsiaTheme="minorHAnsi" w:hAnsi="Arial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167104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B62C0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74A91"/>
    <w:rPr>
      <w:rFonts w:ascii="Arial" w:eastAsiaTheme="minorHAnsi" w:hAnsi="Arial"/>
      <w:sz w:val="20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26F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D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ixed-citation">
    <w:name w:val="mixed-citation"/>
    <w:basedOn w:val="DefaultParagraphFont"/>
    <w:rsid w:val="00EA31DD"/>
  </w:style>
  <w:style w:type="character" w:customStyle="1" w:styleId="ref-journal">
    <w:name w:val="ref-journal"/>
    <w:basedOn w:val="DefaultParagraphFont"/>
    <w:rsid w:val="00EA31DD"/>
  </w:style>
  <w:style w:type="character" w:customStyle="1" w:styleId="ref-vol">
    <w:name w:val="ref-vol"/>
    <w:basedOn w:val="DefaultParagraphFont"/>
    <w:rsid w:val="00EA31DD"/>
  </w:style>
  <w:style w:type="character" w:customStyle="1" w:styleId="citation-volume-pages">
    <w:name w:val="citation-volume-pages"/>
    <w:basedOn w:val="DefaultParagraphFont"/>
    <w:rsid w:val="001431F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87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40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drugoverdose/pdf/Guidelines_Factsheet-a.pdf" TargetMode="External"/><Relationship Id="rId18" Type="http://schemas.openxmlformats.org/officeDocument/2006/relationships/hyperlink" Target="https://leginfo.legislature.ca.gov/faces/billTextClient.xhtml?bill_id=201720180AB2760" TargetMode="External"/><Relationship Id="rId26" Type="http://schemas.openxmlformats.org/officeDocument/2006/relationships/hyperlink" Target="https://dx.doi.org/10.1016/j.jpain.2014.11.007" TargetMode="External"/><Relationship Id="rId39" Type="http://schemas.openxmlformats.org/officeDocument/2006/relationships/hyperlink" Target="https://dx.doi.org/10.1016/j.jsat.2012.08.010" TargetMode="External"/><Relationship Id="rId21" Type="http://schemas.openxmlformats.org/officeDocument/2006/relationships/hyperlink" Target="http://dpw.lacounty.gov/epd/HHW/Pharmaceuticals" TargetMode="External"/><Relationship Id="rId34" Type="http://schemas.openxmlformats.org/officeDocument/2006/relationships/hyperlink" Target="https://dx.doi.org/10.7326/M18-1136" TargetMode="External"/><Relationship Id="rId42" Type="http://schemas.openxmlformats.org/officeDocument/2006/relationships/hyperlink" Target="https://www.drugabuse.gov/sites/default/files/files/OpioidRiskTool.pdf" TargetMode="External"/><Relationship Id="rId47" Type="http://schemas.openxmlformats.org/officeDocument/2006/relationships/hyperlink" Target="https://www.samhsa.gov/medication-assisted-treatment/training-resources/buprenorphine-physician-training" TargetMode="External"/><Relationship Id="rId50" Type="http://schemas.openxmlformats.org/officeDocument/2006/relationships/hyperlink" Target="https://tapcprogram.com/category/mat-tools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dc.gov/drugoverdose/pdf/guidelines_at-a-glance-a.pdf" TargetMode="External"/><Relationship Id="rId17" Type="http://schemas.openxmlformats.org/officeDocument/2006/relationships/hyperlink" Target="https://leginfo.legislature.ca.gov/faces/billTextClient.xhtml?bill_id=201520160SB482" TargetMode="External"/><Relationship Id="rId25" Type="http://schemas.openxmlformats.org/officeDocument/2006/relationships/hyperlink" Target="https://dx.doi.org/10.1097/MLR.0000000000000738" TargetMode="External"/><Relationship Id="rId33" Type="http://schemas.openxmlformats.org/officeDocument/2006/relationships/hyperlink" Target="https://dx.doi.org/10.1371/journal.pmed.1002396" TargetMode="External"/><Relationship Id="rId38" Type="http://schemas.openxmlformats.org/officeDocument/2006/relationships/hyperlink" Target="https://dx.doi.org/10.1111/pme.12520" TargetMode="External"/><Relationship Id="rId46" Type="http://schemas.openxmlformats.org/officeDocument/2006/relationships/hyperlink" Target="https://www.drugabuse.gov/nidamed-medical-health-professionals/tool-resources-your-practice/screening-assessment-drug-testing-resources/chart-evidence-based-screening-tools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x.doi.org/10.7812/TPP/16-16" TargetMode="External"/><Relationship Id="rId20" Type="http://schemas.openxmlformats.org/officeDocument/2006/relationships/hyperlink" Target="https://www.google.com/maps/d/u/0/viewer?mid=1TWtqcLV6nw3Q0BsxiDcoSNUtbUp3mDvJ&amp;ll=34.00666555952027%2C-118.07444166303026&amp;z=10" TargetMode="External"/><Relationship Id="rId29" Type="http://schemas.openxmlformats.org/officeDocument/2006/relationships/hyperlink" Target="https://dx.doi.org/10.1016/j.amepre.2015.03.040" TargetMode="External"/><Relationship Id="rId41" Type="http://schemas.openxmlformats.org/officeDocument/2006/relationships/hyperlink" Target="https://dx.doi.org/10.1097/01.mjt.0000160935.62883.ff" TargetMode="External"/><Relationship Id="rId54" Type="http://schemas.openxmlformats.org/officeDocument/2006/relationships/hyperlink" Target="https://www.samhsa.gov/programs-campaigns/medication-assisted-treatment/legislation-regulations-guidelines/speci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x.doi.org/10.15585/mmwr.mm6626a4" TargetMode="External"/><Relationship Id="rId24" Type="http://schemas.openxmlformats.org/officeDocument/2006/relationships/hyperlink" Target="https://www.oregonpainguidance.org/app/content/uploads/2016/05/Patient-Treatment-Agreements.pdf" TargetMode="External"/><Relationship Id="rId32" Type="http://schemas.openxmlformats.org/officeDocument/2006/relationships/hyperlink" Target="https://leginfo.legislature.ca.gov/faces/billTextClient.xhtml?bill_id=201720180AB2760" TargetMode="External"/><Relationship Id="rId37" Type="http://schemas.openxmlformats.org/officeDocument/2006/relationships/hyperlink" Target="https://www.oregonpainguidance.org/app/content/uploads/2016/05/Opioid-and-Benzodiazepine-Tapering-flow-sheets.pdf" TargetMode="External"/><Relationship Id="rId40" Type="http://schemas.openxmlformats.org/officeDocument/2006/relationships/hyperlink" Target="https://dx.doi.org/10.1080/08897077.2011.638734" TargetMode="External"/><Relationship Id="rId45" Type="http://schemas.openxmlformats.org/officeDocument/2006/relationships/hyperlink" Target="https://dx.doi.org/10.1016/j.jpain.2008.10.008" TargetMode="External"/><Relationship Id="rId53" Type="http://schemas.openxmlformats.org/officeDocument/2006/relationships/hyperlink" Target="https://nccc.ucsf.edu/clinician-consultation/substance-use-management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7326/M15-2771" TargetMode="External"/><Relationship Id="rId23" Type="http://schemas.openxmlformats.org/officeDocument/2006/relationships/hyperlink" Target="https://www.drugabuse.gov/sites/default/files/files/SamplePatientAgreementForms.pdf" TargetMode="External"/><Relationship Id="rId28" Type="http://schemas.openxmlformats.org/officeDocument/2006/relationships/hyperlink" Target="https://dx.doi.org/10.1192/bjp.189.3.213" TargetMode="External"/><Relationship Id="rId36" Type="http://schemas.openxmlformats.org/officeDocument/2006/relationships/hyperlink" Target="https://www.pbm.va.gov/AcademicDetailingService/Documents/Pain_Opioid_Taper_Tool_IB_10_939_P96820.pdf" TargetMode="External"/><Relationship Id="rId49" Type="http://schemas.openxmlformats.org/officeDocument/2006/relationships/hyperlink" Target="http://effectivehealthcare.ahrq.gov/sites/default/files/pdf/opioid-use-disorder_technical-brief.pdf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dx.doi.org/10.15585/mmwr.rr6501e1" TargetMode="External"/><Relationship Id="rId19" Type="http://schemas.openxmlformats.org/officeDocument/2006/relationships/hyperlink" Target="http://www.prescribetoprevent.org" TargetMode="External"/><Relationship Id="rId31" Type="http://schemas.openxmlformats.org/officeDocument/2006/relationships/hyperlink" Target="https://dx.doi.org/10.1111/pme.12907" TargetMode="External"/><Relationship Id="rId44" Type="http://schemas.openxmlformats.org/officeDocument/2006/relationships/hyperlink" Target="https://dx.doi.org/10.1016/S2468-2667(18)30110-5" TargetMode="External"/><Relationship Id="rId52" Type="http://schemas.openxmlformats.org/officeDocument/2006/relationships/hyperlink" Target="https://ed-brid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ioidprescribing.com/" TargetMode="External"/><Relationship Id="rId14" Type="http://schemas.openxmlformats.org/officeDocument/2006/relationships/hyperlink" Target="https://dx.doi.org/10.15585/mmwr.mm6610a1" TargetMode="External"/><Relationship Id="rId22" Type="http://schemas.openxmlformats.org/officeDocument/2006/relationships/hyperlink" Target="https://takebackday.dea.gov/" TargetMode="External"/><Relationship Id="rId27" Type="http://schemas.openxmlformats.org/officeDocument/2006/relationships/hyperlink" Target="https://dx.doi.org/10.7326/0003-4819-152-2-201001190-00006" TargetMode="External"/><Relationship Id="rId30" Type="http://schemas.openxmlformats.org/officeDocument/2006/relationships/hyperlink" Target="https://dx.doi.org/10.2105/AJPH.2016.303061" TargetMode="External"/><Relationship Id="rId35" Type="http://schemas.openxmlformats.org/officeDocument/2006/relationships/hyperlink" Target="https://www.cdc.gov/drugoverdose/pdf/clinical_pocket_guide_tapering-a.pdf" TargetMode="External"/><Relationship Id="rId43" Type="http://schemas.openxmlformats.org/officeDocument/2006/relationships/hyperlink" Target="https://www.nhms.org/sites/default/files/Pdfs/SOAPP-5.pdf" TargetMode="External"/><Relationship Id="rId48" Type="http://schemas.openxmlformats.org/officeDocument/2006/relationships/hyperlink" Target="https://www.thenationalcouncil.org/wp-content/uploads/2018/03/021518_NCBH_ASPTReport-FINAL.pdf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scopeofpain.com/" TargetMode="External"/><Relationship Id="rId51" Type="http://schemas.openxmlformats.org/officeDocument/2006/relationships/hyperlink" Target="https://www.projectshout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80A71-112B-47D5-AA99-1E05C90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Tsai</dc:creator>
  <cp:lastModifiedBy>Michaella Jones</cp:lastModifiedBy>
  <cp:revision>2</cp:revision>
  <cp:lastPrinted>2019-03-01T18:00:00Z</cp:lastPrinted>
  <dcterms:created xsi:type="dcterms:W3CDTF">2019-07-12T21:23:00Z</dcterms:created>
  <dcterms:modified xsi:type="dcterms:W3CDTF">2019-07-12T21:23:00Z</dcterms:modified>
</cp:coreProperties>
</file>